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93620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8770"/>
          </w:tblGrid>
          <w:tr w:rsidR="00BF1BBB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placeholder>
                  <w:docPart w:val="3F519B73FB3E4E27824F3E3FA78F557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F1BBB" w:rsidRDefault="00BF1BBB" w:rsidP="00BF1BB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Research Report</w:t>
                    </w:r>
                  </w:p>
                </w:tc>
              </w:sdtContent>
            </w:sdt>
          </w:tr>
          <w:tr w:rsidR="00BF1BBB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placeholder>
                  <w:docPart w:val="06E354B6CB2947F88E7A30C75D4B268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F1BBB" w:rsidRDefault="00BF1BBB" w:rsidP="00BF1BBB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Fall 2016</w:t>
                    </w:r>
                  </w:p>
                </w:tc>
              </w:sdtContent>
            </w:sdt>
          </w:tr>
          <w:tr w:rsidR="00BF1BBB">
            <w:tc>
              <w:tcPr>
                <w:tcW w:w="5746" w:type="dxa"/>
              </w:tcPr>
              <w:p w:rsidR="00BF1BBB" w:rsidRDefault="00BF1BBB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F1BBB">
            <w:sdt>
              <w:sdtPr>
                <w:alias w:val="Abstract"/>
                <w:id w:val="703864200"/>
                <w:placeholder>
                  <w:docPart w:val="835A12BF5E624383B5A504A3F804863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BF1BBB" w:rsidRDefault="00BF1BBB" w:rsidP="00BF1BBB">
                    <w:pPr>
                      <w:pStyle w:val="NoSpacing"/>
                    </w:pPr>
                    <w:r>
                      <w:t>This report was prepared and presented to the MCCC BOD by the Research Coordinator. The content is mainly about the MCCC membership numbers and trends.</w:t>
                    </w:r>
                  </w:p>
                </w:tc>
              </w:sdtContent>
            </w:sdt>
          </w:tr>
          <w:tr w:rsidR="00BF1BBB">
            <w:tc>
              <w:tcPr>
                <w:tcW w:w="5746" w:type="dxa"/>
              </w:tcPr>
              <w:p w:rsidR="00BF1BBB" w:rsidRDefault="00BF1BBB">
                <w:pPr>
                  <w:pStyle w:val="NoSpacing"/>
                </w:pPr>
              </w:p>
            </w:tc>
          </w:tr>
          <w:tr w:rsidR="00BF1BBB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B85CF64B7F914663A3FE6B3A0D086C5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F1BBB" w:rsidRDefault="00BF1BBB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Hilaire</w:t>
                    </w:r>
                  </w:p>
                </w:tc>
              </w:sdtContent>
            </w:sdt>
          </w:tr>
          <w:tr w:rsidR="00BF1BBB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BF1BBB" w:rsidRDefault="00BF1BBB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1/20/2017</w:t>
                    </w:r>
                  </w:p>
                </w:tc>
              </w:sdtContent>
            </w:sdt>
          </w:tr>
          <w:tr w:rsidR="00BF1BBB">
            <w:tc>
              <w:tcPr>
                <w:tcW w:w="5746" w:type="dxa"/>
              </w:tcPr>
              <w:p w:rsidR="00BF1BBB" w:rsidRDefault="00BF1BB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BF1BBB" w:rsidRDefault="00953602">
          <w:r>
            <w:rPr>
              <w:noProof/>
              <w:lang w:eastAsia="zh-TW"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BF1BBB" w:rsidRDefault="00BF1BB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885CF4" w:rsidRDefault="00A15C4C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36A">
        <w:rPr>
          <w:rFonts w:ascii="Times New Roman" w:hAnsi="Times New Roman" w:cs="Times New Roman"/>
          <w:b/>
          <w:sz w:val="28"/>
          <w:szCs w:val="28"/>
        </w:rPr>
        <w:lastRenderedPageBreak/>
        <w:t>DCE and full-time unit memb</w:t>
      </w:r>
      <w:r w:rsidR="0089036A">
        <w:rPr>
          <w:rFonts w:ascii="Times New Roman" w:hAnsi="Times New Roman" w:cs="Times New Roman"/>
          <w:b/>
          <w:sz w:val="28"/>
          <w:szCs w:val="28"/>
        </w:rPr>
        <w:t xml:space="preserve">er </w:t>
      </w:r>
      <w:r w:rsidRPr="0089036A">
        <w:rPr>
          <w:rFonts w:ascii="Times New Roman" w:hAnsi="Times New Roman" w:cs="Times New Roman"/>
          <w:b/>
          <w:sz w:val="28"/>
          <w:szCs w:val="28"/>
        </w:rPr>
        <w:t>Seniority Lists</w:t>
      </w:r>
    </w:p>
    <w:p w:rsidR="002A0252" w:rsidRDefault="00A15C4C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24D9">
        <w:rPr>
          <w:rFonts w:ascii="Times New Roman" w:hAnsi="Times New Roman" w:cs="Times New Roman"/>
          <w:sz w:val="24"/>
          <w:szCs w:val="24"/>
        </w:rPr>
        <w:t>August 15 DCE and October 15, 2016 full-time seniority lists</w:t>
      </w:r>
      <w:r w:rsidR="00656A80" w:rsidRPr="00A15C4C">
        <w:rPr>
          <w:rFonts w:ascii="Times New Roman" w:hAnsi="Times New Roman" w:cs="Times New Roman"/>
          <w:sz w:val="24"/>
          <w:szCs w:val="24"/>
        </w:rPr>
        <w:t xml:space="preserve"> were collected from the colle</w:t>
      </w:r>
      <w:r w:rsidR="00A124D9">
        <w:rPr>
          <w:rFonts w:ascii="Times New Roman" w:hAnsi="Times New Roman" w:cs="Times New Roman"/>
          <w:sz w:val="24"/>
          <w:szCs w:val="24"/>
        </w:rPr>
        <w:t xml:space="preserve">ges and forwarded to the </w:t>
      </w:r>
      <w:r w:rsidR="00656A80" w:rsidRPr="00A15C4C">
        <w:rPr>
          <w:rFonts w:ascii="Times New Roman" w:hAnsi="Times New Roman" w:cs="Times New Roman"/>
          <w:sz w:val="24"/>
          <w:szCs w:val="24"/>
        </w:rPr>
        <w:t>web master to be posted online</w:t>
      </w:r>
      <w:r>
        <w:rPr>
          <w:rFonts w:ascii="Times New Roman" w:hAnsi="Times New Roman" w:cs="Times New Roman"/>
          <w:sz w:val="24"/>
          <w:szCs w:val="24"/>
        </w:rPr>
        <w:t xml:space="preserve">. Therefore, anyone who needs a seniority </w:t>
      </w:r>
      <w:r w:rsidR="0089036A">
        <w:rPr>
          <w:rFonts w:ascii="Times New Roman" w:hAnsi="Times New Roman" w:cs="Times New Roman"/>
          <w:sz w:val="24"/>
          <w:szCs w:val="24"/>
        </w:rPr>
        <w:t xml:space="preserve">list can easily go to the </w:t>
      </w:r>
      <w:r w:rsidR="00D406FF">
        <w:rPr>
          <w:rFonts w:ascii="Times New Roman" w:hAnsi="Times New Roman" w:cs="Times New Roman"/>
          <w:sz w:val="24"/>
          <w:szCs w:val="24"/>
        </w:rPr>
        <w:t>MCCC’s web</w:t>
      </w:r>
      <w:r w:rsidR="0089036A">
        <w:rPr>
          <w:rFonts w:ascii="Times New Roman" w:hAnsi="Times New Roman" w:cs="Times New Roman"/>
          <w:sz w:val="24"/>
          <w:szCs w:val="24"/>
        </w:rPr>
        <w:t>site to download that information.</w:t>
      </w:r>
    </w:p>
    <w:p w:rsidR="002A0252" w:rsidRDefault="002A0252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252" w:rsidRDefault="0089036A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Full-time hiring practices at the comm</w:t>
      </w:r>
      <w:r w:rsidR="00FA18EC">
        <w:rPr>
          <w:rFonts w:ascii="Times New Roman" w:hAnsi="Times New Roman" w:cs="Times New Roman"/>
          <w:b/>
          <w:sz w:val="28"/>
          <w:szCs w:val="28"/>
        </w:rPr>
        <w:t>unity colleges as of fall 2016</w:t>
      </w:r>
    </w:p>
    <w:p w:rsidR="00D406FF" w:rsidRPr="002A0252" w:rsidRDefault="00FA18EC">
      <w:pPr>
        <w:rPr>
          <w:rFonts w:ascii="Times New Roman" w:hAnsi="Times New Roman" w:cs="Times New Roman"/>
          <w:b/>
          <w:sz w:val="28"/>
          <w:szCs w:val="28"/>
        </w:rPr>
      </w:pPr>
      <w:r w:rsidRPr="00A124D9">
        <w:rPr>
          <w:rFonts w:ascii="Times New Roman" w:hAnsi="Times New Roman" w:cs="Times New Roman"/>
          <w:sz w:val="24"/>
          <w:szCs w:val="24"/>
        </w:rPr>
        <w:t>The spreadsheet</w:t>
      </w:r>
      <w:r w:rsidR="0089036A" w:rsidRPr="00A124D9">
        <w:rPr>
          <w:rFonts w:ascii="Times New Roman" w:hAnsi="Times New Roman" w:cs="Times New Roman"/>
          <w:sz w:val="24"/>
          <w:szCs w:val="24"/>
        </w:rPr>
        <w:t xml:space="preserve"> below show</w:t>
      </w:r>
      <w:r w:rsidR="00A124D9">
        <w:rPr>
          <w:rFonts w:ascii="Times New Roman" w:hAnsi="Times New Roman" w:cs="Times New Roman"/>
          <w:sz w:val="24"/>
          <w:szCs w:val="24"/>
        </w:rPr>
        <w:t xml:space="preserve">s that the </w:t>
      </w:r>
      <w:r w:rsidRPr="00A124D9">
        <w:rPr>
          <w:rFonts w:ascii="Times New Roman" w:hAnsi="Times New Roman" w:cs="Times New Roman"/>
          <w:sz w:val="24"/>
          <w:szCs w:val="24"/>
        </w:rPr>
        <w:t>number</w:t>
      </w:r>
      <w:r w:rsidR="00A124D9">
        <w:rPr>
          <w:rFonts w:ascii="Times New Roman" w:hAnsi="Times New Roman" w:cs="Times New Roman"/>
          <w:sz w:val="24"/>
          <w:szCs w:val="24"/>
        </w:rPr>
        <w:t>s</w:t>
      </w:r>
      <w:r w:rsidRPr="00A124D9">
        <w:rPr>
          <w:rFonts w:ascii="Times New Roman" w:hAnsi="Times New Roman" w:cs="Times New Roman"/>
          <w:sz w:val="24"/>
          <w:szCs w:val="24"/>
        </w:rPr>
        <w:t xml:space="preserve"> of full-time Non-Unit Professionals (NUPs) at MassBay, </w:t>
      </w:r>
      <w:r w:rsidR="00A124D9">
        <w:rPr>
          <w:rFonts w:ascii="Times New Roman" w:hAnsi="Times New Roman" w:cs="Times New Roman"/>
          <w:sz w:val="24"/>
          <w:szCs w:val="24"/>
        </w:rPr>
        <w:t>Mount Wachusett, and Roxbury were</w:t>
      </w:r>
      <w:r w:rsidRPr="00A124D9">
        <w:rPr>
          <w:rFonts w:ascii="Times New Roman" w:hAnsi="Times New Roman" w:cs="Times New Roman"/>
          <w:sz w:val="24"/>
          <w:szCs w:val="24"/>
        </w:rPr>
        <w:t xml:space="preserve"> higher th</w:t>
      </w:r>
      <w:r w:rsidR="00A124D9">
        <w:rPr>
          <w:rFonts w:ascii="Times New Roman" w:hAnsi="Times New Roman" w:cs="Times New Roman"/>
          <w:sz w:val="24"/>
          <w:szCs w:val="24"/>
        </w:rPr>
        <w:t>an those of</w:t>
      </w:r>
      <w:r w:rsidRPr="00A124D9">
        <w:rPr>
          <w:rFonts w:ascii="Times New Roman" w:hAnsi="Times New Roman" w:cs="Times New Roman"/>
          <w:sz w:val="24"/>
          <w:szCs w:val="24"/>
        </w:rPr>
        <w:t xml:space="preserve">unit full-time faculty </w:t>
      </w:r>
      <w:r w:rsidR="00D406FF" w:rsidRPr="00A124D9">
        <w:rPr>
          <w:rFonts w:ascii="Times New Roman" w:hAnsi="Times New Roman" w:cs="Times New Roman"/>
          <w:sz w:val="24"/>
          <w:szCs w:val="24"/>
        </w:rPr>
        <w:t xml:space="preserve">members </w:t>
      </w:r>
      <w:r w:rsidRPr="00A124D9">
        <w:rPr>
          <w:rFonts w:ascii="Times New Roman" w:hAnsi="Times New Roman" w:cs="Times New Roman"/>
          <w:sz w:val="24"/>
          <w:szCs w:val="24"/>
        </w:rPr>
        <w:t>at the same institutions for fall 2016. The same chart also illustrate</w:t>
      </w:r>
      <w:r w:rsidR="004444E7" w:rsidRPr="00A124D9">
        <w:rPr>
          <w:rFonts w:ascii="Times New Roman" w:hAnsi="Times New Roman" w:cs="Times New Roman"/>
          <w:sz w:val="24"/>
          <w:szCs w:val="24"/>
        </w:rPr>
        <w:t>s</w:t>
      </w:r>
      <w:r w:rsidR="00A124D9">
        <w:rPr>
          <w:rFonts w:ascii="Times New Roman" w:hAnsi="Times New Roman" w:cs="Times New Roman"/>
          <w:sz w:val="24"/>
          <w:szCs w:val="24"/>
        </w:rPr>
        <w:t xml:space="preserve"> that all the colleges had</w:t>
      </w:r>
      <w:r w:rsidRPr="00A124D9">
        <w:rPr>
          <w:rFonts w:ascii="Times New Roman" w:hAnsi="Times New Roman" w:cs="Times New Roman"/>
          <w:sz w:val="24"/>
          <w:szCs w:val="24"/>
        </w:rPr>
        <w:t xml:space="preserve"> more</w:t>
      </w:r>
      <w:r w:rsidR="00A124D9">
        <w:rPr>
          <w:rFonts w:ascii="Times New Roman" w:hAnsi="Times New Roman" w:cs="Times New Roman"/>
          <w:sz w:val="24"/>
          <w:szCs w:val="24"/>
        </w:rPr>
        <w:t xml:space="preserve"> Non-Unit Professionals than full-time professional sta</w:t>
      </w:r>
      <w:r w:rsidR="00D406FF" w:rsidRPr="00A124D9">
        <w:rPr>
          <w:rFonts w:ascii="Times New Roman" w:hAnsi="Times New Roman" w:cs="Times New Roman"/>
          <w:sz w:val="24"/>
          <w:szCs w:val="24"/>
        </w:rPr>
        <w:t>ff, with the exception of Bunker Hill.</w:t>
      </w:r>
    </w:p>
    <w:tbl>
      <w:tblPr>
        <w:tblW w:w="11400" w:type="dxa"/>
        <w:tblInd w:w="93" w:type="dxa"/>
        <w:tblLook w:val="04A0"/>
      </w:tblPr>
      <w:tblGrid>
        <w:gridCol w:w="3320"/>
        <w:gridCol w:w="2400"/>
        <w:gridCol w:w="2880"/>
        <w:gridCol w:w="880"/>
        <w:gridCol w:w="960"/>
        <w:gridCol w:w="960"/>
      </w:tblGrid>
      <w:tr w:rsidR="004B4C02" w:rsidRPr="004B4C02" w:rsidTr="004B4C02">
        <w:trPr>
          <w:trHeight w:val="360"/>
        </w:trPr>
        <w:tc>
          <w:tcPr>
            <w:tcW w:w="3320" w:type="dxa"/>
            <w:tcBorders>
              <w:top w:val="single" w:sz="4" w:space="0" w:color="F79646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Year 2016</w:t>
            </w:r>
          </w:p>
        </w:tc>
        <w:tc>
          <w:tcPr>
            <w:tcW w:w="2400" w:type="dxa"/>
            <w:tcBorders>
              <w:top w:val="single" w:sz="4" w:space="0" w:color="F79646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Full-time Faculty</w:t>
            </w:r>
          </w:p>
        </w:tc>
        <w:tc>
          <w:tcPr>
            <w:tcW w:w="2880" w:type="dxa"/>
            <w:tcBorders>
              <w:top w:val="single" w:sz="4" w:space="0" w:color="F79646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FT Professional Staff</w:t>
            </w:r>
          </w:p>
        </w:tc>
        <w:tc>
          <w:tcPr>
            <w:tcW w:w="880" w:type="dxa"/>
            <w:tcBorders>
              <w:top w:val="single" w:sz="4" w:space="0" w:color="F79646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NUP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Berkshire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Bristol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Bunker Hill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Cape Cod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Greenfield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Holyoke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MassBay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Massasoit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Middlesex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5B063F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</w:t>
            </w:r>
            <w:r w:rsidR="004B4C02"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Mount Wachusett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North Shore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Northern Essex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Quinsigamond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Roxbury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Springfield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E662AE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E662AE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FDE9D9" w:fill="FDE9D9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4B4C02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 </w:t>
            </w:r>
            <w:r w:rsidR="00E662AE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91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4C02" w:rsidRPr="004B4C02" w:rsidTr="004B4C02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Total for fall 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5B063F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15</w:t>
            </w:r>
            <w:r w:rsidR="00E662AE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E662AE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746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E662AE" w:rsidP="004B4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2" w:rsidRPr="004B4C02" w:rsidRDefault="004B4C02" w:rsidP="004B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0252" w:rsidRDefault="002A0252" w:rsidP="0089036A">
      <w:pPr>
        <w:rPr>
          <w:rFonts w:ascii="Times New Roman" w:hAnsi="Times New Roman" w:cs="Times New Roman"/>
          <w:b/>
          <w:sz w:val="28"/>
          <w:szCs w:val="28"/>
        </w:rPr>
      </w:pPr>
    </w:p>
    <w:p w:rsidR="001A0037" w:rsidRPr="001635E6" w:rsidRDefault="00E61B88" w:rsidP="0089036A">
      <w:pPr>
        <w:rPr>
          <w:rFonts w:ascii="Times New Roman" w:hAnsi="Times New Roman" w:cs="Times New Roman"/>
          <w:b/>
          <w:sz w:val="28"/>
          <w:szCs w:val="28"/>
        </w:rPr>
      </w:pPr>
      <w:r w:rsidRPr="001635E6">
        <w:rPr>
          <w:rFonts w:ascii="Times New Roman" w:hAnsi="Times New Roman" w:cs="Times New Roman"/>
          <w:b/>
          <w:sz w:val="28"/>
          <w:szCs w:val="28"/>
        </w:rPr>
        <w:lastRenderedPageBreak/>
        <w:t>A look at the working hours of part-time professionals in the college system</w:t>
      </w:r>
    </w:p>
    <w:tbl>
      <w:tblPr>
        <w:tblW w:w="5000" w:type="pct"/>
        <w:tblLook w:val="04A0"/>
      </w:tblPr>
      <w:tblGrid>
        <w:gridCol w:w="14180"/>
        <w:gridCol w:w="218"/>
        <w:gridCol w:w="218"/>
      </w:tblGrid>
      <w:tr w:rsidR="00E61B88" w:rsidRPr="004D2446" w:rsidTr="00F06A1F">
        <w:trPr>
          <w:trHeight w:val="315"/>
        </w:trPr>
        <w:tc>
          <w:tcPr>
            <w:tcW w:w="4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Pr="004D2446" w:rsidRDefault="00E61B88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Based on the updated part-time professional staff lists the college system reported to the MCCC on October 15, 2016,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Pr="004D2446" w:rsidRDefault="00E61B88" w:rsidP="000E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88" w:rsidRPr="004D2446" w:rsidTr="00F06A1F">
        <w:trPr>
          <w:trHeight w:val="315"/>
        </w:trPr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Default="00E61B88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 of the unit part-time professionals had worki</w:t>
            </w:r>
            <w:r w:rsidR="0016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 hours at or below18.5 hours </w:t>
            </w:r>
            <w:r w:rsidRPr="004D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week and were not eligible to receive any benefits.</w:t>
            </w:r>
            <w:r w:rsidR="0016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the other hand, Northern Essex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Springfield, Cape Cod, and Middlesex were among the colleges that offered prorated benefitsto part-timers who worked over 18.5 hours per week on average. It's also wor</w:t>
            </w:r>
            <w:r w:rsidR="0016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 mentioning that colleges such 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Bunker Hill,</w:t>
            </w:r>
          </w:p>
          <w:p w:rsidR="00E61B88" w:rsidRDefault="00E61B88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Bristol, a</w:t>
            </w:r>
            <w:r w:rsidR="0016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 Cape Cod did not provide 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benefits to some of their part-timers although they were eligible for them.</w:t>
            </w: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7953" w:rsidRPr="004D2446" w:rsidRDefault="009C7953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Pr="004D2446" w:rsidRDefault="00E61B88" w:rsidP="000E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Pr="004D2446" w:rsidRDefault="00E61B88" w:rsidP="000E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88" w:rsidRPr="004D2446" w:rsidTr="00F06A1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Pr="004D2446" w:rsidRDefault="00E61B88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B88" w:rsidRPr="004D2446" w:rsidTr="00F06A1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1" w:rsidRDefault="00620251"/>
          <w:tbl>
            <w:tblPr>
              <w:tblW w:w="5000" w:type="pct"/>
              <w:tblLook w:val="04A0"/>
            </w:tblPr>
            <w:tblGrid>
              <w:gridCol w:w="3186"/>
              <w:gridCol w:w="1196"/>
              <w:gridCol w:w="1483"/>
              <w:gridCol w:w="1056"/>
              <w:gridCol w:w="1002"/>
              <w:gridCol w:w="1089"/>
              <w:gridCol w:w="783"/>
              <w:gridCol w:w="4605"/>
            </w:tblGrid>
            <w:tr w:rsidR="00422D59" w:rsidRPr="00422D59" w:rsidTr="00620251">
              <w:trPr>
                <w:trHeight w:val="375"/>
              </w:trPr>
              <w:tc>
                <w:tcPr>
                  <w:tcW w:w="275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620251" w:rsidRDefault="00422D59" w:rsidP="00422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0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 look at the working hours of part-time professionals in the college system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6A1F" w:rsidRPr="00422D59" w:rsidTr="00620251">
              <w:trPr>
                <w:trHeight w:val="620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College Names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Total PT UPS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 # of hours worked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# of PT UPS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 W&lt;=18.5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# of PT UPS 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W &gt;18.5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% of working hrs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 &lt;=18.5/week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% of working hrs  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&gt; 18.5 /week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Comments</w:t>
                  </w:r>
                </w:p>
              </w:tc>
            </w:tr>
            <w:tr w:rsidR="00422D59" w:rsidRPr="00422D59" w:rsidTr="00620251">
              <w:trPr>
                <w:trHeight w:val="369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Berkshire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673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83%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17%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year, 13 hours / 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pro-rated benefits for the one part-timer exceeding 18.5 hrs per week</w:t>
                  </w:r>
                </w:p>
              </w:tc>
            </w:tr>
            <w:tr w:rsidR="00422D59" w:rsidRPr="00422D59" w:rsidTr="00620251">
              <w:trPr>
                <w:trHeight w:val="504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Bristol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0E70FD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+-</w:t>
                  </w:r>
                  <w:r w:rsidR="00422D59"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81%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19%</w:t>
                  </w:r>
                </w:p>
              </w:tc>
              <w:tc>
                <w:tcPr>
                  <w:tcW w:w="1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average hour per week, 14 hours / 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12 part-timers worked over 18.5 hrs/week but did not get any pro-rated benefits</w:t>
                  </w:r>
                </w:p>
              </w:tc>
            </w:tr>
            <w:tr w:rsidR="00422D59" w:rsidRPr="00422D59" w:rsidTr="00620251">
              <w:trPr>
                <w:trHeight w:val="405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Bunker Hill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93%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7%</w:t>
                  </w:r>
                </w:p>
              </w:tc>
              <w:tc>
                <w:tcPr>
                  <w:tcW w:w="15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hours per week, 15 hrs per week on average 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no benefits for 4 part-timers exceeding 18.5 hrs per week</w:t>
                  </w:r>
                </w:p>
              </w:tc>
            </w:tr>
            <w:tr w:rsidR="00422D59" w:rsidRPr="00422D59" w:rsidTr="00620251">
              <w:trPr>
                <w:trHeight w:val="504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Cape Cod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96%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15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semester, 18 hrs /week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some part-timers get pro-rated benefits and others don't although eligible for them</w:t>
                  </w:r>
                </w:p>
              </w:tc>
            </w:tr>
            <w:tr w:rsidR="00422D59" w:rsidRPr="00422D59" w:rsidTr="00620251">
              <w:trPr>
                <w:trHeight w:val="414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Greenfield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42%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58%</w:t>
                  </w:r>
                </w:p>
              </w:tc>
              <w:tc>
                <w:tcPr>
                  <w:tcW w:w="1599" w:type="pct"/>
                  <w:tcBorders>
                    <w:top w:val="nil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week, 20 hrs /week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pro-rated benefits for the part-timers exceeding 18.5 hrs per week</w:t>
                  </w:r>
                </w:p>
              </w:tc>
            </w:tr>
            <w:tr w:rsidR="00422D59" w:rsidRPr="00422D59" w:rsidTr="00620251">
              <w:trPr>
                <w:trHeight w:val="567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Holyoke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year, 5 hrs /week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part-timer hours are at or below 18.5 hrs per week -- no benefits are required</w:t>
                  </w:r>
                </w:p>
              </w:tc>
            </w:tr>
            <w:tr w:rsidR="00422D59" w:rsidRPr="00422D59" w:rsidTr="00620251">
              <w:trPr>
                <w:trHeight w:val="567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MassBay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week, 10 hrs per 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all part-timers were kept at no more than 18.5 hrs per week -- no benefits are required</w:t>
                  </w:r>
                </w:p>
              </w:tc>
            </w:tr>
            <w:tr w:rsidR="00422D59" w:rsidRPr="00422D59" w:rsidTr="00620251">
              <w:trPr>
                <w:trHeight w:val="585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Massasoit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year, 4 hrs /week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part-timers working hours were at or below 18.5 hrs per week -- no benefits required</w:t>
                  </w:r>
                </w:p>
              </w:tc>
            </w:tr>
            <w:tr w:rsidR="00422D59" w:rsidRPr="00422D59" w:rsidTr="00620251">
              <w:trPr>
                <w:trHeight w:val="369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Middlesex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90%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hours per year, 7 hrs/week on average, 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pro-rated benefits for part-timers exceeding 18.5 hrs per week</w:t>
                  </w:r>
                </w:p>
              </w:tc>
            </w:tr>
            <w:tr w:rsidR="00422D59" w:rsidRPr="00422D59" w:rsidTr="00620251">
              <w:trPr>
                <w:trHeight w:val="567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620251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Mount Wachusett</w:t>
                  </w:r>
                  <w:r w:rsidR="00422D59"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hours per year, 5 hrs /week on average, 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part-timers working hours were at or below 18.5 per week-- no benefits required</w:t>
                  </w:r>
                </w:p>
              </w:tc>
            </w:tr>
            <w:tr w:rsidR="00422D59" w:rsidRPr="00422D59" w:rsidTr="00620251">
              <w:trPr>
                <w:trHeight w:val="396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North Shore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75%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hours per semester, 12 hrs per week on average; 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no benefits for part-timers exceeding 18.5 hrs per semester</w:t>
                  </w:r>
                </w:p>
              </w:tc>
            </w:tr>
            <w:tr w:rsidR="00422D59" w:rsidRPr="00422D59" w:rsidTr="00620251">
              <w:trPr>
                <w:trHeight w:val="396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Northern Essex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75%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hours per year, 15 hrs per week on average, 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pro-rated beneftis for part-timers exceeding 18.5 hrs per week</w:t>
                  </w:r>
                </w:p>
              </w:tc>
            </w:tr>
            <w:tr w:rsidR="00422D59" w:rsidRPr="00422D59" w:rsidTr="00620251">
              <w:trPr>
                <w:trHeight w:val="504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Quinsigamond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99%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semester, 10 hrs per 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No part-timers exceeded 18.5 hrs per week but 1 and did not get benefits</w:t>
                  </w:r>
                </w:p>
              </w:tc>
            </w:tr>
            <w:tr w:rsidR="00422D59" w:rsidRPr="00422D59" w:rsidTr="00620251">
              <w:trPr>
                <w:trHeight w:val="369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Roxbury</w:t>
                  </w:r>
                  <w:r w:rsidR="006202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Community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semester, 14 hrs per 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no part-timers exceeded 18.5 hours per week-- no benefits required</w:t>
                  </w:r>
                </w:p>
              </w:tc>
            </w:tr>
            <w:tr w:rsidR="00422D59" w:rsidRPr="00422D59" w:rsidTr="00620251">
              <w:trPr>
                <w:trHeight w:val="405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Springfield Community College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hours per year, 23 hrs per week on average</w:t>
                  </w: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pro-rated benefits for part-timers exceeding 18.5 hrs per week</w:t>
                  </w:r>
                </w:p>
              </w:tc>
            </w:tr>
            <w:tr w:rsidR="00422D59" w:rsidRPr="00422D59" w:rsidTr="00620251">
              <w:trPr>
                <w:trHeight w:val="252"/>
              </w:trPr>
              <w:tc>
                <w:tcPr>
                  <w:tcW w:w="1106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4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515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886</w:t>
                  </w:r>
                </w:p>
              </w:tc>
              <w:tc>
                <w:tcPr>
                  <w:tcW w:w="34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8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92%</w:t>
                  </w:r>
                </w:p>
              </w:tc>
              <w:tc>
                <w:tcPr>
                  <w:tcW w:w="272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599" w:type="pct"/>
                  <w:tcBorders>
                    <w:top w:val="single" w:sz="4" w:space="0" w:color="4F81BD"/>
                    <w:left w:val="nil"/>
                    <w:bottom w:val="double" w:sz="6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2D59" w:rsidRPr="00422D59" w:rsidRDefault="00422D59" w:rsidP="00422D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2D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885CF4" w:rsidRDefault="00885CF4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7C3A" w:rsidRPr="00A15C4C" w:rsidRDefault="00E37C3A" w:rsidP="00E3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Snapshot of Day part-time faculty and </w:t>
            </w:r>
            <w:r w:rsidRPr="00A15C4C">
              <w:rPr>
                <w:rFonts w:ascii="Times New Roman" w:hAnsi="Times New Roman" w:cs="Times New Roman"/>
                <w:b/>
                <w:sz w:val="28"/>
                <w:szCs w:val="28"/>
              </w:rPr>
              <w:t>professional staff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fall 2016</w:t>
            </w:r>
          </w:p>
          <w:p w:rsidR="00E37C3A" w:rsidRPr="009A3324" w:rsidRDefault="00E37C3A" w:rsidP="00E3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below summarizes</w:t>
            </w:r>
            <w:r w:rsidRPr="00A15C4C">
              <w:rPr>
                <w:rFonts w:ascii="Times New Roman" w:hAnsi="Times New Roman" w:cs="Times New Roman"/>
                <w:sz w:val="24"/>
                <w:szCs w:val="24"/>
              </w:rPr>
              <w:t xml:space="preserve"> the numbers of part-time faculty and professional staff reported by the community colleges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of October 2016</w:t>
            </w:r>
            <w:r w:rsidRPr="00A15C4C">
              <w:rPr>
                <w:rFonts w:ascii="Times New Roman" w:hAnsi="Times New Roman" w:cs="Times New Roman"/>
                <w:sz w:val="24"/>
                <w:szCs w:val="24"/>
              </w:rPr>
              <w:t>. It is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rth noting that Middlesex, Holyoke, Quinsigamond, and Cape Cod had 49</w:t>
            </w:r>
            <w:r w:rsidRPr="00A15C4C">
              <w:rPr>
                <w:rFonts w:ascii="Times New Roman" w:hAnsi="Times New Roman" w:cs="Times New Roman"/>
                <w:sz w:val="24"/>
                <w:szCs w:val="24"/>
              </w:rPr>
              <w:t>% of the total number of part-time professional staff in the college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last fall</w:t>
            </w:r>
            <w:r w:rsidRPr="00A1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8385" w:type="dxa"/>
              <w:tblInd w:w="93" w:type="dxa"/>
              <w:tblLook w:val="04A0"/>
            </w:tblPr>
            <w:tblGrid>
              <w:gridCol w:w="3795"/>
              <w:gridCol w:w="2250"/>
              <w:gridCol w:w="2340"/>
            </w:tblGrid>
            <w:tr w:rsidR="00E37C3A" w:rsidRPr="009A3324" w:rsidTr="002D5088">
              <w:trPr>
                <w:trHeight w:val="9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College Names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Number of </w:t>
                  </w: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  <w:t>Day Part-time Faculty</w:t>
                  </w: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  <w:t>Fall 2016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Number of Part-time</w:t>
                  </w: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  <w:t>Professional staff</w:t>
                  </w: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  <w:t>Fall 2016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Berkshire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Bristol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62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Bunker Hill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55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Cape Cod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114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Greenfield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Holyoke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118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MassBay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41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Massasoit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73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Middlesex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126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Mount Wachusett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63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North Shore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73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Northern Essex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72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Quinsigamond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117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Roxbury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29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Springfield Community College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                            TOTAL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966</w:t>
                  </w:r>
                </w:p>
              </w:tc>
            </w:tr>
            <w:tr w:rsidR="00E37C3A" w:rsidRPr="009A3324" w:rsidTr="002D5088">
              <w:trPr>
                <w:trHeight w:val="300"/>
              </w:trPr>
              <w:tc>
                <w:tcPr>
                  <w:tcW w:w="37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DA9694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DA9694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DA9694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E37C3A" w:rsidRPr="009A3324" w:rsidRDefault="00E37C3A" w:rsidP="002D5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</w:pPr>
                  <w:r w:rsidRPr="009A332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1F497D"/>
                      <w:sz w:val="16"/>
                      <w:szCs w:val="16"/>
                    </w:rPr>
                    <w:t>source: info from the colleges</w:t>
                  </w:r>
                </w:p>
              </w:tc>
            </w:tr>
          </w:tbl>
          <w:p w:rsidR="00885CF4" w:rsidRDefault="00885CF4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5CF4" w:rsidRDefault="00885CF4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EF9" w:rsidRDefault="005C3EF9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EF9" w:rsidRDefault="005C3EF9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2326" w:type="dxa"/>
              <w:tblLook w:val="04A0"/>
            </w:tblPr>
            <w:tblGrid>
              <w:gridCol w:w="8153"/>
              <w:gridCol w:w="2342"/>
              <w:gridCol w:w="1831"/>
            </w:tblGrid>
            <w:tr w:rsidR="00220B13" w:rsidRPr="00220B13" w:rsidTr="00220B13">
              <w:trPr>
                <w:trHeight w:val="375"/>
              </w:trPr>
              <w:tc>
                <w:tcPr>
                  <w:tcW w:w="8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CE0" w:rsidRDefault="00C97CE0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97CE0" w:rsidRDefault="00C97CE0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97CE0" w:rsidRDefault="00C97CE0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0B13" w:rsidRPr="00220B13" w:rsidRDefault="00220B13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0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Snapshot of DCE members in the college system as of fall 2016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B13" w:rsidRPr="00220B13" w:rsidRDefault="00220B13" w:rsidP="00220B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B13" w:rsidRPr="00220B13" w:rsidRDefault="00220B13" w:rsidP="00220B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20B13" w:rsidRPr="00220B13" w:rsidTr="00220B13">
              <w:trPr>
                <w:trHeight w:val="375"/>
              </w:trPr>
              <w:tc>
                <w:tcPr>
                  <w:tcW w:w="12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B13" w:rsidRDefault="00220B13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0B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Please note these numbers do not include Day full-time faculty and professional staff who also taught DCE courses in fall 2016.</w:t>
                  </w:r>
                  <w:r w:rsidR="00C97C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97CE0" w:rsidRPr="00220B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Compared to last fall, the numbers of pure adjuncts in the college system declined by 4% in fall 2016.</w:t>
                  </w:r>
                </w:p>
                <w:p w:rsidR="00C97CE0" w:rsidRDefault="00C97CE0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1580" w:type="dxa"/>
                    <w:tblLook w:val="04A0"/>
                  </w:tblPr>
                  <w:tblGrid>
                    <w:gridCol w:w="5080"/>
                    <w:gridCol w:w="2580"/>
                    <w:gridCol w:w="2200"/>
                    <w:gridCol w:w="1720"/>
                  </w:tblGrid>
                  <w:tr w:rsidR="00C97CE0" w:rsidRPr="00C97CE0" w:rsidTr="00C97CE0">
                    <w:trPr>
                      <w:trHeight w:val="915"/>
                    </w:trPr>
                    <w:tc>
                      <w:tcPr>
                        <w:tcW w:w="5080" w:type="dxa"/>
                        <w:tcBorders>
                          <w:top w:val="single" w:sz="4" w:space="0" w:color="B2B2B2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College Names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B2B2B2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# of DCE Members</w:t>
                        </w: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br/>
                          <w:t>fall 2016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B2B2B2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# of DCE Agency</w:t>
                        </w: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br/>
                          <w:t>fall 2016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B2B2B2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 xml:space="preserve">Total DCE </w:t>
                        </w: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br/>
                          <w:t>for fall 2016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Berkshire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59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119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Bristol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306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150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456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Bunker Hill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307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232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539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Cape Cod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63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160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Greenfield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55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47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102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Holyoke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150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241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MassBay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73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190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Massasoit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183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102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285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Middlesex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206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145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351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Mount Wachusett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122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77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199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North Shore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187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121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308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Northern Essex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142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203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Quinsigamond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234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119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353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Roxbury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59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68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127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Springfield Community College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109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178</w:t>
                        </w:r>
                      </w:p>
                    </w:tc>
                  </w:tr>
                  <w:tr w:rsidR="00C97CE0" w:rsidRPr="00C97CE0" w:rsidTr="00C97CE0">
                    <w:trPr>
                      <w:trHeight w:val="390"/>
                    </w:trPr>
                    <w:tc>
                      <w:tcPr>
                        <w:tcW w:w="5080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 xml:space="preserve">                                  TOTAL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2333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1478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3811</w:t>
                        </w:r>
                      </w:p>
                    </w:tc>
                  </w:tr>
                  <w:tr w:rsidR="00C97CE0" w:rsidRPr="00C97CE0" w:rsidTr="00C97CE0">
                    <w:trPr>
                      <w:trHeight w:val="300"/>
                    </w:trPr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7CE0" w:rsidRPr="00C97CE0" w:rsidRDefault="00C97CE0" w:rsidP="00C97C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97CE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Source: info from MCCC invoice membership</w:t>
                        </w:r>
                      </w:p>
                    </w:tc>
                  </w:tr>
                </w:tbl>
                <w:p w:rsidR="00C97CE0" w:rsidRPr="00220B13" w:rsidRDefault="00C97CE0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0B13" w:rsidRPr="00220B13" w:rsidTr="00220B13">
              <w:trPr>
                <w:trHeight w:val="375"/>
              </w:trPr>
              <w:tc>
                <w:tcPr>
                  <w:tcW w:w="10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B13" w:rsidRPr="00220B13" w:rsidRDefault="00220B13" w:rsidP="00220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B13" w:rsidRPr="00220B13" w:rsidRDefault="00220B13" w:rsidP="00220B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C3EF9" w:rsidRDefault="005C3EF9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3EF9" w:rsidRPr="004D2446" w:rsidRDefault="005C3EF9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B88" w:rsidRPr="004D2446" w:rsidTr="00F06A1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Pr="004D2446" w:rsidRDefault="00C97CE0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C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9055939" cy="4313207"/>
                  <wp:effectExtent l="19050" t="0" r="11861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61B88" w:rsidRPr="004D2446" w:rsidTr="009C7953">
        <w:trPr>
          <w:trHeight w:val="10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88" w:rsidRPr="004D2446" w:rsidRDefault="00E61B88" w:rsidP="000E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7953" w:rsidRDefault="009C7953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953" w:rsidRDefault="009C7953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953" w:rsidRDefault="009C7953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953" w:rsidRDefault="009C7953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953" w:rsidRDefault="009C7953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251" w:rsidRDefault="00620251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251" w:rsidRDefault="00620251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806" w:rsidRDefault="00D91806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Full-time Non-Unit Professionals and DCE courses: Fall 2016</w:t>
      </w:r>
    </w:p>
    <w:p w:rsidR="00D91806" w:rsidRDefault="00D91806" w:rsidP="00D9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806" w:rsidRPr="00D91806" w:rsidRDefault="00D91806" w:rsidP="00D9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806">
        <w:rPr>
          <w:rFonts w:ascii="Times New Roman" w:hAnsi="Times New Roman" w:cs="Times New Roman"/>
          <w:sz w:val="28"/>
          <w:szCs w:val="28"/>
        </w:rPr>
        <w:t xml:space="preserve">As of fall 2016, the community colleges had 1,224 Non-Unit Professionals. Eighty-six (86) of those NUP's taught </w:t>
      </w:r>
      <w:r w:rsidR="009C7953">
        <w:rPr>
          <w:rFonts w:ascii="Times New Roman" w:hAnsi="Times New Roman" w:cs="Times New Roman"/>
          <w:sz w:val="28"/>
          <w:szCs w:val="28"/>
        </w:rPr>
        <w:t>DCE</w:t>
      </w:r>
      <w:r w:rsidRPr="00D91806">
        <w:rPr>
          <w:rFonts w:ascii="Times New Roman" w:hAnsi="Times New Roman" w:cs="Times New Roman"/>
          <w:sz w:val="28"/>
          <w:szCs w:val="28"/>
        </w:rPr>
        <w:t>courses in that semester.</w:t>
      </w:r>
    </w:p>
    <w:p w:rsidR="00C97CE0" w:rsidRDefault="00C97CE0" w:rsidP="008903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2" w:type="dxa"/>
        <w:tblInd w:w="94" w:type="dxa"/>
        <w:tblLook w:val="04A0"/>
      </w:tblPr>
      <w:tblGrid>
        <w:gridCol w:w="4046"/>
        <w:gridCol w:w="5266"/>
        <w:gridCol w:w="5210"/>
      </w:tblGrid>
      <w:tr w:rsidR="00D91806" w:rsidRPr="00D91806" w:rsidTr="00241DF5">
        <w:trPr>
          <w:trHeight w:val="1110"/>
        </w:trPr>
        <w:tc>
          <w:tcPr>
            <w:tcW w:w="29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Colleges</w:t>
            </w:r>
          </w:p>
        </w:tc>
        <w:tc>
          <w:tcPr>
            <w:tcW w:w="38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Fall 2016</w:t>
            </w: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# of FT Non-unit Professionals</w:t>
            </w:r>
          </w:p>
        </w:tc>
        <w:tc>
          <w:tcPr>
            <w:tcW w:w="37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Fall 2016</w:t>
            </w: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NUP's teaching DCE courses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Bunker Hill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Greenfield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Middlesex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</w:t>
            </w:r>
          </w:p>
        </w:tc>
      </w:tr>
      <w:tr w:rsidR="00D91806" w:rsidRPr="00D91806" w:rsidTr="00241DF5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lastRenderedPageBreak/>
              <w:t>TOTAL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86</w:t>
            </w:r>
          </w:p>
        </w:tc>
      </w:tr>
      <w:tr w:rsidR="00D91806" w:rsidRPr="00D91806" w:rsidTr="00241DF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06" w:rsidRPr="00D91806" w:rsidRDefault="00D91806" w:rsidP="00D91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D91806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source: info from the colleges</w:t>
            </w:r>
          </w:p>
        </w:tc>
      </w:tr>
    </w:tbl>
    <w:tbl>
      <w:tblPr>
        <w:tblpPr w:leftFromText="180" w:rightFromText="180" w:vertAnchor="text" w:horzAnchor="margin" w:tblpY="97"/>
        <w:tblW w:w="14522" w:type="dxa"/>
        <w:tblLook w:val="04A0"/>
      </w:tblPr>
      <w:tblGrid>
        <w:gridCol w:w="6584"/>
        <w:gridCol w:w="6373"/>
        <w:gridCol w:w="1659"/>
      </w:tblGrid>
      <w:tr w:rsidR="00241DF5" w:rsidRPr="00012718" w:rsidTr="00241DF5">
        <w:trPr>
          <w:trHeight w:val="375"/>
        </w:trPr>
        <w:tc>
          <w:tcPr>
            <w:tcW w:w="1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1DF5" w:rsidRPr="00012718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Percentage of DCE v.s full-time faculty in the college system: Fall 2016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DF5" w:rsidRPr="00012718" w:rsidTr="00241DF5">
        <w:trPr>
          <w:trHeight w:val="300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DF5" w:rsidRPr="00012718" w:rsidTr="00241DF5">
        <w:trPr>
          <w:trHeight w:val="315"/>
        </w:trPr>
        <w:tc>
          <w:tcPr>
            <w:tcW w:w="1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table below shows that DCE </w:t>
            </w:r>
            <w:r w:rsidR="00BC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members accounted for 71</w:t>
            </w:r>
            <w:r w:rsidRPr="000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the instructional staff as of last fall.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worth noting that B</w:t>
            </w:r>
            <w:r w:rsidR="0009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unker Hill, Bristol, Roxbury, and Middlesex</w:t>
            </w:r>
            <w:r w:rsidRPr="000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respectively</w:t>
            </w:r>
          </w:p>
        </w:tc>
      </w:tr>
      <w:tr w:rsidR="00241DF5" w:rsidRPr="00012718" w:rsidTr="00241DF5">
        <w:trPr>
          <w:trHeight w:val="315"/>
        </w:trPr>
        <w:tc>
          <w:tcPr>
            <w:tcW w:w="1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highest percentages of DCE members compared to full-timers.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DF5" w:rsidRPr="00012718" w:rsidTr="00241DF5">
        <w:trPr>
          <w:trHeight w:val="315"/>
        </w:trPr>
        <w:tc>
          <w:tcPr>
            <w:tcW w:w="1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also important to note the part-time members used in this comparison only taught DCE courses.</w:t>
            </w:r>
          </w:p>
          <w:tbl>
            <w:tblPr>
              <w:tblW w:w="11920" w:type="dxa"/>
              <w:tblLook w:val="04A0"/>
            </w:tblPr>
            <w:tblGrid>
              <w:gridCol w:w="5140"/>
              <w:gridCol w:w="2692"/>
              <w:gridCol w:w="2455"/>
              <w:gridCol w:w="1633"/>
            </w:tblGrid>
            <w:tr w:rsidR="00241DF5" w:rsidRPr="00241DF5" w:rsidTr="005B063F">
              <w:trPr>
                <w:trHeight w:val="780"/>
              </w:trPr>
              <w:tc>
                <w:tcPr>
                  <w:tcW w:w="514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College Names</w:t>
                  </w:r>
                </w:p>
              </w:tc>
              <w:tc>
                <w:tcPr>
                  <w:tcW w:w="2692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Total full-time faculty</w:t>
                  </w: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br/>
                    <w:t>Fall 2016</w:t>
                  </w:r>
                </w:p>
              </w:tc>
              <w:tc>
                <w:tcPr>
                  <w:tcW w:w="2455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Total DCE </w:t>
                  </w: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br/>
                    <w:t>for fall 2016</w:t>
                  </w:r>
                </w:p>
              </w:tc>
              <w:tc>
                <w:tcPr>
                  <w:tcW w:w="1633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Total DCE </w:t>
                  </w: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br/>
                    <w:t>for fall 2016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Berkshire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69%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Bristol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78%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Bunker Hill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78%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Cape Cod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71%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Greenfield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64%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Holyoke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65%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MassBay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72%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Massasoit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69%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Middlesex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5B063F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</w:t>
                  </w:r>
                  <w:r w:rsidR="00241DF5"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5B063F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74</w:t>
                  </w:r>
                  <w:r w:rsidR="00241DF5"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Mount Wachusett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73%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North Shore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72%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Northern Essex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65%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Quinsigamond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71%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Roxbury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77%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Springfield Community College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54%</w:t>
                  </w:r>
                </w:p>
              </w:tc>
            </w:tr>
            <w:tr w:rsidR="00241DF5" w:rsidRPr="00241DF5" w:rsidTr="005B063F">
              <w:trPr>
                <w:trHeight w:val="39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                                 TOTAL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5B063F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15</w:t>
                  </w:r>
                  <w:r w:rsidR="00241DF5"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3811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5B063F" w:rsidP="005B063F">
                  <w:pPr>
                    <w:framePr w:hSpace="180" w:wrap="around" w:vAnchor="text" w:hAnchor="margin" w:y="9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71</w:t>
                  </w:r>
                  <w:r w:rsidR="00241DF5" w:rsidRPr="00241DF5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%</w:t>
                  </w:r>
                </w:p>
              </w:tc>
            </w:tr>
            <w:tr w:rsidR="00241DF5" w:rsidRPr="00241DF5" w:rsidTr="005B063F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41DF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41DF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41DF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Source: Data from the college system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CC"/>
                  <w:noWrap/>
                  <w:vAlign w:val="bottom"/>
                  <w:hideMark/>
                </w:tcPr>
                <w:p w:rsidR="00241DF5" w:rsidRP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241DF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41DF5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2399" w:type="dxa"/>
              <w:tblLook w:val="04A0"/>
            </w:tblPr>
            <w:tblGrid>
              <w:gridCol w:w="10431"/>
              <w:gridCol w:w="2310"/>
            </w:tblGrid>
            <w:tr w:rsidR="00241DF5" w:rsidRPr="00FA1569" w:rsidTr="005B063F">
              <w:trPr>
                <w:trHeight w:val="375"/>
              </w:trPr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0251" w:rsidRDefault="00620251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41DF5" w:rsidRPr="00FA1569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A15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Numbers of full-time faculty and professional staff  with dual unit status: Fall 2016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DF5" w:rsidRPr="00FA1569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41DF5" w:rsidRPr="00FA1569" w:rsidTr="005B063F">
              <w:trPr>
                <w:trHeight w:val="315"/>
              </w:trPr>
              <w:tc>
                <w:tcPr>
                  <w:tcW w:w="12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DF5" w:rsidRPr="00FA1569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15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As can be seen in the table below, 998 full-time faculty and profes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FA15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ional staff unit members also taught DCE courses in fall 2016.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15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is also worth noting that 88% of those full-timers with dual unit status were faculty members.</w:t>
                  </w:r>
                </w:p>
              </w:tc>
            </w:tr>
            <w:tr w:rsidR="00241DF5" w:rsidRPr="00FA1569" w:rsidTr="005B063F">
              <w:trPr>
                <w:trHeight w:val="315"/>
              </w:trPr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DF5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0435" w:type="dxa"/>
                    <w:tblLook w:val="04A0"/>
                  </w:tblPr>
                  <w:tblGrid>
                    <w:gridCol w:w="5007"/>
                    <w:gridCol w:w="1674"/>
                    <w:gridCol w:w="1411"/>
                    <w:gridCol w:w="2113"/>
                  </w:tblGrid>
                  <w:tr w:rsidR="00241DF5" w:rsidRPr="00FA1569" w:rsidTr="00B9775B">
                    <w:trPr>
                      <w:trHeight w:val="945"/>
                    </w:trPr>
                    <w:tc>
                      <w:tcPr>
                        <w:tcW w:w="5125" w:type="dxa"/>
                        <w:tcBorders>
                          <w:top w:val="single" w:sz="4" w:space="0" w:color="B2B2B2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College Names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B2B2B2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Dual Unit</w:t>
                        </w: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br/>
                          <w:t>Status/FT Fac.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B2B2B2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Dual Unit</w:t>
                        </w: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br/>
                          <w:t>Status/FT Prof.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B2B2B2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Total FT with</w:t>
                        </w: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br/>
                          <w:t>dual unit status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Berkshire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29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Bristol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114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Bunker Hill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115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Cape Cod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39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Greenfield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19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Holyoke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61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MassBay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48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Massasoit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100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Middlesex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16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90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Mount Wachusett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47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North Shore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69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Northern Essex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73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Quinsigamond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109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Roxbury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12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Springfield Community College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68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5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73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 xml:space="preserve">                                      TOTAL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880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118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998</w:t>
                        </w:r>
                      </w:p>
                    </w:tc>
                  </w:tr>
                  <w:tr w:rsidR="00241DF5" w:rsidRPr="00FA1569" w:rsidTr="00B9775B">
                    <w:trPr>
                      <w:trHeight w:val="390"/>
                    </w:trPr>
                    <w:tc>
                      <w:tcPr>
                        <w:tcW w:w="5125" w:type="dxa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FFFFCC"/>
                        <w:noWrap/>
                        <w:vAlign w:val="bottom"/>
                        <w:hideMark/>
                      </w:tcPr>
                      <w:p w:rsidR="00241DF5" w:rsidRPr="00FA1569" w:rsidRDefault="00241DF5" w:rsidP="005B063F">
                        <w:pPr>
                          <w:framePr w:hSpace="180" w:wrap="around" w:vAnchor="text" w:hAnchor="margin" w:y="97"/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16"/>
                            <w:szCs w:val="16"/>
                          </w:rPr>
                        </w:pPr>
                        <w:r w:rsidRPr="00FA1569">
                          <w:rPr>
                            <w:rFonts w:ascii="Calibri" w:eastAsia="Times New Roman" w:hAnsi="Calibri" w:cs="Calibri"/>
                            <w:b/>
                            <w:bCs/>
                            <w:color w:val="1F497D"/>
                            <w:sz w:val="16"/>
                            <w:szCs w:val="16"/>
                          </w:rPr>
                          <w:t>source: info from the colleges</w:t>
                        </w:r>
                      </w:p>
                    </w:tc>
                  </w:tr>
                </w:tbl>
                <w:p w:rsidR="00241DF5" w:rsidRPr="00FA1569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DF5" w:rsidRPr="00FA1569" w:rsidRDefault="00241DF5" w:rsidP="005B063F">
                  <w:pPr>
                    <w:framePr w:hSpace="180" w:wrap="around" w:vAnchor="text" w:hAnchor="margin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41DF5" w:rsidRPr="00012718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DF5" w:rsidRPr="00012718" w:rsidTr="00241DF5">
        <w:trPr>
          <w:trHeight w:val="315"/>
        </w:trPr>
        <w:tc>
          <w:tcPr>
            <w:tcW w:w="1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F5" w:rsidRPr="00012718" w:rsidRDefault="00241DF5" w:rsidP="0024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251" w:rsidRDefault="00620251" w:rsidP="0089036A">
      <w:pPr>
        <w:rPr>
          <w:rFonts w:ascii="Times New Roman" w:hAnsi="Times New Roman" w:cs="Times New Roman"/>
          <w:b/>
          <w:sz w:val="28"/>
          <w:szCs w:val="28"/>
        </w:rPr>
      </w:pPr>
    </w:p>
    <w:p w:rsidR="001A0037" w:rsidRPr="001635E6" w:rsidRDefault="001635E6" w:rsidP="0089036A">
      <w:pPr>
        <w:rPr>
          <w:rFonts w:ascii="Times New Roman" w:hAnsi="Times New Roman" w:cs="Times New Roman"/>
          <w:b/>
          <w:sz w:val="28"/>
          <w:szCs w:val="28"/>
        </w:rPr>
      </w:pPr>
      <w:r w:rsidRPr="001635E6">
        <w:rPr>
          <w:rFonts w:ascii="Times New Roman" w:hAnsi="Times New Roman" w:cs="Times New Roman"/>
          <w:b/>
          <w:sz w:val="28"/>
          <w:szCs w:val="28"/>
        </w:rPr>
        <w:t>Snapshot of full-time unit members in the college system as of fall 2016</w:t>
      </w:r>
    </w:p>
    <w:p w:rsidR="0089036A" w:rsidRDefault="001635E6" w:rsidP="0089036A">
      <w:pPr>
        <w:rPr>
          <w:rFonts w:ascii="Times New Roman" w:hAnsi="Times New Roman" w:cs="Times New Roman"/>
          <w:sz w:val="24"/>
          <w:szCs w:val="24"/>
        </w:rPr>
      </w:pPr>
      <w:r w:rsidRPr="00853238">
        <w:rPr>
          <w:rFonts w:ascii="Times New Roman" w:hAnsi="Times New Roman" w:cs="Times New Roman"/>
          <w:sz w:val="24"/>
          <w:szCs w:val="24"/>
        </w:rPr>
        <w:t xml:space="preserve">The total </w:t>
      </w:r>
      <w:r w:rsidR="00E83A49" w:rsidRPr="00853238">
        <w:rPr>
          <w:rFonts w:ascii="Times New Roman" w:hAnsi="Times New Roman" w:cs="Times New Roman"/>
          <w:sz w:val="24"/>
          <w:szCs w:val="24"/>
        </w:rPr>
        <w:t xml:space="preserve">full-time unit members </w:t>
      </w:r>
      <w:r w:rsidR="00853238">
        <w:rPr>
          <w:rFonts w:ascii="Times New Roman" w:hAnsi="Times New Roman" w:cs="Times New Roman"/>
          <w:sz w:val="24"/>
          <w:szCs w:val="24"/>
        </w:rPr>
        <w:t>in the colleges</w:t>
      </w:r>
      <w:r w:rsidR="00E83A49" w:rsidRPr="00853238">
        <w:rPr>
          <w:rFonts w:ascii="Times New Roman" w:hAnsi="Times New Roman" w:cs="Times New Roman"/>
          <w:sz w:val="24"/>
          <w:szCs w:val="24"/>
        </w:rPr>
        <w:t xml:space="preserve"> increased by 14 percent in fall 2016 compared </w:t>
      </w:r>
      <w:r w:rsidR="00077F31" w:rsidRPr="00853238">
        <w:rPr>
          <w:rFonts w:ascii="Times New Roman" w:hAnsi="Times New Roman" w:cs="Times New Roman"/>
          <w:sz w:val="24"/>
          <w:szCs w:val="24"/>
        </w:rPr>
        <w:t xml:space="preserve">to </w:t>
      </w:r>
      <w:r w:rsidRPr="00853238">
        <w:rPr>
          <w:rFonts w:ascii="Times New Roman" w:hAnsi="Times New Roman" w:cs="Times New Roman"/>
          <w:sz w:val="24"/>
          <w:szCs w:val="24"/>
        </w:rPr>
        <w:t>last fall</w:t>
      </w:r>
      <w:r w:rsidR="00853238">
        <w:rPr>
          <w:rFonts w:ascii="Times New Roman" w:hAnsi="Times New Roman" w:cs="Times New Roman"/>
          <w:sz w:val="24"/>
          <w:szCs w:val="24"/>
        </w:rPr>
        <w:t xml:space="preserve">. The graph below also </w:t>
      </w:r>
      <w:r w:rsidR="00853238" w:rsidRPr="00853238">
        <w:rPr>
          <w:rFonts w:ascii="Times New Roman" w:hAnsi="Times New Roman" w:cs="Times New Roman"/>
          <w:sz w:val="24"/>
          <w:szCs w:val="24"/>
        </w:rPr>
        <w:t xml:space="preserve">shows that </w:t>
      </w:r>
      <w:r w:rsidR="00E83A49" w:rsidRPr="00853238">
        <w:rPr>
          <w:rFonts w:ascii="Times New Roman" w:hAnsi="Times New Roman" w:cs="Times New Roman"/>
          <w:sz w:val="24"/>
          <w:szCs w:val="24"/>
        </w:rPr>
        <w:t>Middlesex, B</w:t>
      </w:r>
      <w:r w:rsidRPr="00853238">
        <w:rPr>
          <w:rFonts w:ascii="Times New Roman" w:hAnsi="Times New Roman" w:cs="Times New Roman"/>
          <w:sz w:val="24"/>
          <w:szCs w:val="24"/>
        </w:rPr>
        <w:t>unker Hill, and Quinsigamond</w:t>
      </w:r>
      <w:r w:rsidR="00853238" w:rsidRPr="00853238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853238">
        <w:rPr>
          <w:rFonts w:ascii="Times New Roman" w:hAnsi="Times New Roman" w:cs="Times New Roman"/>
          <w:sz w:val="24"/>
          <w:szCs w:val="24"/>
        </w:rPr>
        <w:t xml:space="preserve"> had </w:t>
      </w:r>
      <w:r w:rsidR="00E83A49" w:rsidRPr="00853238">
        <w:rPr>
          <w:rFonts w:ascii="Times New Roman" w:hAnsi="Times New Roman" w:cs="Times New Roman"/>
          <w:sz w:val="24"/>
          <w:szCs w:val="24"/>
        </w:rPr>
        <w:t>the highest number</w:t>
      </w:r>
      <w:r w:rsidR="00077F31" w:rsidRPr="00853238">
        <w:rPr>
          <w:rFonts w:ascii="Times New Roman" w:hAnsi="Times New Roman" w:cs="Times New Roman"/>
          <w:sz w:val="24"/>
          <w:szCs w:val="24"/>
        </w:rPr>
        <w:t>s</w:t>
      </w:r>
      <w:r w:rsidR="00E83A49" w:rsidRPr="00853238">
        <w:rPr>
          <w:rFonts w:ascii="Times New Roman" w:hAnsi="Times New Roman" w:cs="Times New Roman"/>
          <w:sz w:val="24"/>
          <w:szCs w:val="24"/>
        </w:rPr>
        <w:t xml:space="preserve"> of full-time</w:t>
      </w:r>
      <w:r w:rsidRPr="00853238">
        <w:rPr>
          <w:rFonts w:ascii="Times New Roman" w:hAnsi="Times New Roman" w:cs="Times New Roman"/>
          <w:sz w:val="24"/>
          <w:szCs w:val="24"/>
        </w:rPr>
        <w:t xml:space="preserve">rs </w:t>
      </w:r>
      <w:r w:rsidR="00853238" w:rsidRPr="00853238">
        <w:rPr>
          <w:rFonts w:ascii="Times New Roman" w:hAnsi="Times New Roman" w:cs="Times New Roman"/>
          <w:sz w:val="24"/>
          <w:szCs w:val="24"/>
        </w:rPr>
        <w:t>at that time.</w:t>
      </w:r>
    </w:p>
    <w:tbl>
      <w:tblPr>
        <w:tblW w:w="11480" w:type="dxa"/>
        <w:tblInd w:w="94" w:type="dxa"/>
        <w:tblLook w:val="04A0"/>
      </w:tblPr>
      <w:tblGrid>
        <w:gridCol w:w="5040"/>
        <w:gridCol w:w="1760"/>
        <w:gridCol w:w="2020"/>
        <w:gridCol w:w="2660"/>
      </w:tblGrid>
      <w:tr w:rsidR="006A4119" w:rsidRPr="006A4119" w:rsidTr="006A4119">
        <w:trPr>
          <w:trHeight w:val="960"/>
        </w:trPr>
        <w:tc>
          <w:tcPr>
            <w:tcW w:w="504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 Names</w:t>
            </w:r>
          </w:p>
        </w:tc>
        <w:tc>
          <w:tcPr>
            <w:tcW w:w="17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#  FT Faculty</w:t>
            </w: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Fall 2016</w:t>
            </w:r>
          </w:p>
        </w:tc>
        <w:tc>
          <w:tcPr>
            <w:tcW w:w="20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# FT Prof. Staff</w:t>
            </w: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Fall 2016</w:t>
            </w:r>
          </w:p>
        </w:tc>
        <w:tc>
          <w:tcPr>
            <w:tcW w:w="26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# FT Unit Members</w:t>
            </w: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Fall 2016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73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177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Bunker Hill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242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95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Greenfield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77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194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105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183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Middlesex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7A313A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  <w:r w:rsidR="006A4119"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12C1F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  <w:r w:rsidR="006A4119"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122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187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153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206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58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 Community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193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                                     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7A313A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</w:t>
            </w:r>
            <w:r w:rsidR="006A4119"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7A313A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22</w:t>
            </w:r>
            <w:r w:rsidR="006A4119"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80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 </w:t>
            </w:r>
          </w:p>
        </w:tc>
      </w:tr>
      <w:tr w:rsidR="006A4119" w:rsidRPr="006A4119" w:rsidTr="006A4119">
        <w:trPr>
          <w:trHeight w:val="390"/>
        </w:trPr>
        <w:tc>
          <w:tcPr>
            <w:tcW w:w="5040" w:type="dxa"/>
            <w:tcBorders>
              <w:top w:val="nil"/>
              <w:left w:val="single" w:sz="4" w:space="0" w:color="D99795"/>
              <w:bottom w:val="single" w:sz="4" w:space="0" w:color="D99795"/>
              <w:right w:val="nil"/>
            </w:tcBorders>
            <w:shd w:val="clear" w:color="auto" w:fill="auto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9795"/>
              <w:right w:val="nil"/>
            </w:tcBorders>
            <w:shd w:val="clear" w:color="auto" w:fill="auto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99795"/>
              <w:right w:val="nil"/>
            </w:tcBorders>
            <w:shd w:val="clear" w:color="auto" w:fill="auto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auto"/>
            <w:noWrap/>
            <w:vAlign w:val="bottom"/>
            <w:hideMark/>
          </w:tcPr>
          <w:p w:rsidR="006A4119" w:rsidRPr="006A4119" w:rsidRDefault="006A4119" w:rsidP="006A4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6A4119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source: info from the colleges</w:t>
            </w:r>
          </w:p>
        </w:tc>
      </w:tr>
    </w:tbl>
    <w:p w:rsidR="006A4119" w:rsidRDefault="006A4119" w:rsidP="0089036A">
      <w:pPr>
        <w:rPr>
          <w:rFonts w:ascii="Times New Roman" w:hAnsi="Times New Roman" w:cs="Times New Roman"/>
          <w:sz w:val="24"/>
          <w:szCs w:val="24"/>
        </w:rPr>
      </w:pPr>
    </w:p>
    <w:p w:rsidR="006A4119" w:rsidRPr="00853238" w:rsidRDefault="006A4119" w:rsidP="0089036A">
      <w:pPr>
        <w:rPr>
          <w:rFonts w:ascii="Times New Roman" w:hAnsi="Times New Roman" w:cs="Times New Roman"/>
          <w:sz w:val="24"/>
          <w:szCs w:val="24"/>
        </w:rPr>
      </w:pPr>
      <w:r w:rsidRPr="006A41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86927" cy="4313207"/>
            <wp:effectExtent l="19050" t="0" r="23723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3766" w:rsidRPr="00E83A49" w:rsidRDefault="009A3766" w:rsidP="0089036A">
      <w:pPr>
        <w:rPr>
          <w:rFonts w:ascii="Times New Roman" w:hAnsi="Times New Roman" w:cs="Times New Roman"/>
          <w:sz w:val="28"/>
          <w:szCs w:val="28"/>
        </w:rPr>
      </w:pPr>
    </w:p>
    <w:p w:rsidR="00B9775B" w:rsidRDefault="00B9775B" w:rsidP="00F87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75B" w:rsidRDefault="00B9775B" w:rsidP="00F87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75B" w:rsidRDefault="00B9775B" w:rsidP="00F87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251" w:rsidRDefault="00620251" w:rsidP="00F87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251" w:rsidRDefault="00620251" w:rsidP="00F87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C9F" w:rsidRPr="00834F12" w:rsidRDefault="00F87C9F" w:rsidP="00F87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Classification and Point-Calculation Forms</w:t>
      </w:r>
    </w:p>
    <w:p w:rsidR="00F87C9F" w:rsidRPr="00477C11" w:rsidRDefault="00F87C9F" w:rsidP="00F87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January </w:t>
      </w:r>
      <w:r w:rsidR="00F87163">
        <w:rPr>
          <w:rFonts w:ascii="Times New Roman" w:hAnsi="Times New Roman" w:cs="Times New Roman"/>
          <w:sz w:val="24"/>
          <w:szCs w:val="24"/>
        </w:rPr>
        <w:t>to December 2016, one hundred eighty-four (18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7C11">
        <w:rPr>
          <w:rFonts w:ascii="Times New Roman" w:hAnsi="Times New Roman" w:cs="Times New Roman"/>
          <w:sz w:val="24"/>
          <w:szCs w:val="24"/>
        </w:rPr>
        <w:t>) point-</w:t>
      </w:r>
      <w:r>
        <w:rPr>
          <w:rFonts w:ascii="Times New Roman" w:hAnsi="Times New Roman" w:cs="Times New Roman"/>
          <w:sz w:val="24"/>
          <w:szCs w:val="24"/>
        </w:rPr>
        <w:t>calculation forms were received</w:t>
      </w:r>
      <w:r w:rsidRPr="00477C11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7163">
        <w:rPr>
          <w:rFonts w:ascii="Times New Roman" w:hAnsi="Times New Roman" w:cs="Times New Roman"/>
          <w:sz w:val="24"/>
          <w:szCs w:val="24"/>
        </w:rPr>
        <w:t>community college system. 71</w:t>
      </w:r>
      <w:r w:rsidRPr="00477C11">
        <w:rPr>
          <w:rFonts w:ascii="Times New Roman" w:hAnsi="Times New Roman" w:cs="Times New Roman"/>
          <w:sz w:val="24"/>
          <w:szCs w:val="24"/>
        </w:rPr>
        <w:t xml:space="preserve">% of those new full-timers were hired at the </w:t>
      </w:r>
      <w:r w:rsidR="00F87163">
        <w:rPr>
          <w:rFonts w:ascii="Times New Roman" w:hAnsi="Times New Roman" w:cs="Times New Roman"/>
          <w:sz w:val="24"/>
          <w:szCs w:val="24"/>
        </w:rPr>
        <w:t>salary grid; 21</w:t>
      </w:r>
      <w:r w:rsidRPr="00477C11">
        <w:rPr>
          <w:rFonts w:ascii="Times New Roman" w:hAnsi="Times New Roman" w:cs="Times New Roman"/>
          <w:sz w:val="24"/>
          <w:szCs w:val="24"/>
        </w:rPr>
        <w:t xml:space="preserve"> percent of the hiring salaries were </w:t>
      </w:r>
      <w:r w:rsidR="00F87163">
        <w:rPr>
          <w:rFonts w:ascii="Times New Roman" w:hAnsi="Times New Roman" w:cs="Times New Roman"/>
          <w:sz w:val="24"/>
          <w:szCs w:val="24"/>
        </w:rPr>
        <w:t>above the salary grid, and 8</w:t>
      </w:r>
      <w:r w:rsidRPr="00477C11">
        <w:rPr>
          <w:rFonts w:ascii="Times New Roman" w:hAnsi="Times New Roman" w:cs="Times New Roman"/>
          <w:sz w:val="24"/>
          <w:szCs w:val="24"/>
        </w:rPr>
        <w:t xml:space="preserve"> percent of the forms received had salaries that were slightly or significantly below the classification system. It is worth noting that the salaries below the grid </w:t>
      </w:r>
      <w:r w:rsidR="00F87163">
        <w:rPr>
          <w:rFonts w:ascii="Times New Roman" w:hAnsi="Times New Roman" w:cs="Times New Roman"/>
          <w:sz w:val="24"/>
          <w:szCs w:val="24"/>
        </w:rPr>
        <w:t xml:space="preserve">also include </w:t>
      </w:r>
      <w:r>
        <w:rPr>
          <w:rFonts w:ascii="Times New Roman" w:hAnsi="Times New Roman" w:cs="Times New Roman"/>
          <w:sz w:val="24"/>
          <w:szCs w:val="24"/>
        </w:rPr>
        <w:t xml:space="preserve">pro-rated or </w:t>
      </w:r>
      <w:r w:rsidRPr="00477C11">
        <w:rPr>
          <w:rFonts w:ascii="Times New Roman" w:hAnsi="Times New Roman" w:cs="Times New Roman"/>
          <w:sz w:val="24"/>
          <w:szCs w:val="24"/>
        </w:rPr>
        <w:t>part-time positions. Some unit members continue to receive $10,000 or more above the classified salaries, especially nursing faculty members.</w:t>
      </w:r>
      <w:r>
        <w:rPr>
          <w:rFonts w:ascii="Times New Roman" w:hAnsi="Times New Roman" w:cs="Times New Roman"/>
          <w:sz w:val="24"/>
          <w:szCs w:val="24"/>
        </w:rPr>
        <w:t xml:space="preserve"> Another interesting trend from the classification forms received over</w:t>
      </w:r>
      <w:r w:rsidR="00F87163">
        <w:rPr>
          <w:rFonts w:ascii="Times New Roman" w:hAnsi="Times New Roman" w:cs="Times New Roman"/>
          <w:sz w:val="24"/>
          <w:szCs w:val="24"/>
        </w:rPr>
        <w:t xml:space="preserve"> that period of time was that 5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F87163">
        <w:rPr>
          <w:rFonts w:ascii="Times New Roman" w:hAnsi="Times New Roman" w:cs="Times New Roman"/>
          <w:sz w:val="24"/>
          <w:szCs w:val="24"/>
        </w:rPr>
        <w:t>the 184</w:t>
      </w:r>
      <w:r>
        <w:rPr>
          <w:rFonts w:ascii="Times New Roman" w:hAnsi="Times New Roman" w:cs="Times New Roman"/>
          <w:sz w:val="24"/>
          <w:szCs w:val="24"/>
        </w:rPr>
        <w:t xml:space="preserve"> new hires had doctorate degrees. The table below illustrates the analysis of the classification forms for new hires.</w:t>
      </w:r>
    </w:p>
    <w:p w:rsidR="00F87C9F" w:rsidRPr="00211874" w:rsidRDefault="00F87C9F" w:rsidP="00F87C9F">
      <w:pPr>
        <w:spacing w:line="240" w:lineRule="auto"/>
        <w:rPr>
          <w:b/>
        </w:rPr>
      </w:pPr>
      <w:r>
        <w:rPr>
          <w:b/>
        </w:rPr>
        <w:t>M0</w:t>
      </w:r>
      <w:r w:rsidR="00F87163">
        <w:rPr>
          <w:b/>
        </w:rPr>
        <w:t>02/M004’s Received from January through December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F87C9F" w:rsidTr="000E70F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Numbers of  M002/M004’s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9F" w:rsidRDefault="00F87163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Total Forms (18</w:t>
            </w:r>
            <w:r w:rsidR="00F87C9F">
              <w:t>4)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Criteria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Percentage</w:t>
            </w:r>
          </w:p>
        </w:tc>
      </w:tr>
      <w:tr w:rsidR="00F87C9F" w:rsidTr="000E70F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Number of forms matching the salary grid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163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Salary difference =$ 0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163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71</w:t>
            </w:r>
            <w:r w:rsidR="00F87C9F">
              <w:t>%</w:t>
            </w:r>
          </w:p>
        </w:tc>
      </w:tr>
      <w:tr w:rsidR="00F87C9F" w:rsidTr="000E70F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Number of forms above the salary grid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163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Greater than $0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163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21</w:t>
            </w:r>
            <w:r w:rsidR="00F87C9F">
              <w:t>%</w:t>
            </w:r>
          </w:p>
        </w:tc>
      </w:tr>
      <w:tr w:rsidR="00F87C9F" w:rsidTr="000E70F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Number of forms below the salary grid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163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C9F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Less than zero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9F" w:rsidRDefault="00F87163" w:rsidP="000E70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  <w:r w:rsidR="00F87C9F">
              <w:t>% (also include PT positions)</w:t>
            </w:r>
          </w:p>
        </w:tc>
      </w:tr>
    </w:tbl>
    <w:p w:rsidR="00271F98" w:rsidRDefault="00271F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84" w:type="dxa"/>
        <w:tblInd w:w="94" w:type="dxa"/>
        <w:tblLook w:val="04A0"/>
      </w:tblPr>
      <w:tblGrid>
        <w:gridCol w:w="754"/>
        <w:gridCol w:w="4070"/>
        <w:gridCol w:w="564"/>
        <w:gridCol w:w="413"/>
        <w:gridCol w:w="1800"/>
        <w:gridCol w:w="346"/>
        <w:gridCol w:w="478"/>
        <w:gridCol w:w="851"/>
        <w:gridCol w:w="1020"/>
        <w:gridCol w:w="360"/>
        <w:gridCol w:w="563"/>
        <w:gridCol w:w="37"/>
        <w:gridCol w:w="674"/>
        <w:gridCol w:w="304"/>
        <w:gridCol w:w="33"/>
        <w:gridCol w:w="344"/>
        <w:gridCol w:w="314"/>
        <w:gridCol w:w="299"/>
        <w:gridCol w:w="960"/>
      </w:tblGrid>
      <w:tr w:rsidR="00CA689B" w:rsidRPr="00CA689B" w:rsidTr="00B9775B">
        <w:trPr>
          <w:gridAfter w:val="4"/>
          <w:wAfter w:w="1917" w:type="dxa"/>
          <w:trHeight w:val="375"/>
        </w:trPr>
        <w:tc>
          <w:tcPr>
            <w:tcW w:w="8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775B" w:rsidRDefault="00B9775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0251" w:rsidRDefault="00620251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689B" w:rsidRPr="00CA689B" w:rsidRDefault="00CA689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Trust and grant-funded positions at the college system: Fall 2016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9B" w:rsidRPr="00CA689B" w:rsidRDefault="00CA689B" w:rsidP="00CA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9B" w:rsidRPr="00CA689B" w:rsidRDefault="00CA689B" w:rsidP="00CA6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89B" w:rsidRPr="00CA689B" w:rsidTr="00B9775B">
        <w:trPr>
          <w:gridAfter w:val="4"/>
          <w:wAfter w:w="1917" w:type="dxa"/>
          <w:trHeight w:val="315"/>
        </w:trPr>
        <w:tc>
          <w:tcPr>
            <w:tcW w:w="12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9B" w:rsidRPr="00CA689B" w:rsidRDefault="00CA689B" w:rsidP="00C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table below shows the college system had 469 part-time and 147 full-time trust and/or grant-funded positions for fall 2016.</w:t>
            </w:r>
          </w:p>
        </w:tc>
      </w:tr>
      <w:tr w:rsidR="002D5088" w:rsidRPr="002D5088" w:rsidTr="00B9775B">
        <w:trPr>
          <w:gridAfter w:val="9"/>
          <w:wAfter w:w="3528" w:type="dxa"/>
          <w:trHeight w:val="870"/>
        </w:trPr>
        <w:tc>
          <w:tcPr>
            <w:tcW w:w="5388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 Names</w:t>
            </w:r>
          </w:p>
        </w:tc>
        <w:tc>
          <w:tcPr>
            <w:tcW w:w="2559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# of Unit Part-time</w:t>
            </w: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Grant-funded</w:t>
            </w:r>
          </w:p>
        </w:tc>
        <w:tc>
          <w:tcPr>
            <w:tcW w:w="2709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# of Unit Full-time</w:t>
            </w: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Grant-funded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Bunker Hill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14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Greenfield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67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66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Middlesex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115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33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53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30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28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 Community College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53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</w:t>
            </w:r>
          </w:p>
        </w:tc>
      </w:tr>
      <w:tr w:rsidR="002D5088" w:rsidRPr="002D5088" w:rsidTr="00B9775B">
        <w:trPr>
          <w:gridAfter w:val="9"/>
          <w:wAfter w:w="3528" w:type="dxa"/>
          <w:trHeight w:val="390"/>
        </w:trPr>
        <w:tc>
          <w:tcPr>
            <w:tcW w:w="5388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                                     TOTAL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469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2D5088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147</w:t>
            </w:r>
          </w:p>
        </w:tc>
      </w:tr>
      <w:tr w:rsidR="002D5088" w:rsidRPr="002D5088" w:rsidTr="00B9775B">
        <w:trPr>
          <w:gridAfter w:val="9"/>
          <w:wAfter w:w="3528" w:type="dxa"/>
          <w:trHeight w:val="30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Source: Data from the college system</w:t>
            </w:r>
          </w:p>
        </w:tc>
      </w:tr>
      <w:tr w:rsidR="002D5088" w:rsidRPr="002D5088" w:rsidTr="00B9775B">
        <w:trPr>
          <w:trHeight w:val="300"/>
        </w:trPr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5B" w:rsidRDefault="00B9775B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775B" w:rsidRDefault="00B9775B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775B" w:rsidRDefault="00B9775B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775B" w:rsidRDefault="00B9775B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775B" w:rsidRDefault="00B9775B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9775B" w:rsidRDefault="00B9775B" w:rsidP="002D5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20251" w:rsidRDefault="00620251" w:rsidP="00F2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2179B" w:rsidRDefault="002D5088" w:rsidP="00F2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21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List of course</w:t>
            </w:r>
            <w:r w:rsidR="00F21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 commencing at 4:00pm or later</w:t>
            </w:r>
          </w:p>
          <w:p w:rsidR="002D5088" w:rsidRPr="00F2179B" w:rsidRDefault="002D5088" w:rsidP="00F2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Faculty First Name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Faculty Last 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Day(s)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NURSING ACROSS THE LIFE SPAN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Lynn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Doyle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4:00 PM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6:30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NURSING ACROSS THE LIFE SPAN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Lynn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Doyle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4:00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11:30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NURSING IN HEALTH &amp; ILLNESS I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Verstreken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4:00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6:30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NURSING IN HEALTH &amp; ILLNESS I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Verstreken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4:00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11:30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 TO STATISTICS (Start 9/26)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Binslas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Anilus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4:15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5:50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 TO STATISTICS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Binslas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Anilus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 TO STATISTICS PILOT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Binslas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Anilus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PSYCHOLOGY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Tesfay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Aradom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HUMAN GROWTH AND DEVELOPMENT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Tesfay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Aradom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 ALGEBRA WITH MYMATHLAB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Alex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Asare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 ALGEBRA WITH MYMATHLAB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Alex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Asare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ACCESSING THE WAN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Valerie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Atherley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CHILD GROWTH &amp; DEV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Michelle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Harrell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APPLIED GRAMMAR I (LEV-C)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Veronica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McCormack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PRE-CALCULUS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Javad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Moulai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7:45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COMPOSITION I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Everest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Onuoha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COMPOSITION II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Everest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Onuoha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 INTL RELATIONS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Everest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Onuoha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6:00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8:45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NURSING IN HEALTH &amp; ILLNESS I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Verstreken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7:00 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5088">
              <w:rPr>
                <w:rFonts w:ascii="Arial" w:eastAsia="Times New Roman" w:hAnsi="Arial" w:cs="Arial"/>
                <w:sz w:val="18"/>
                <w:szCs w:val="18"/>
              </w:rPr>
              <w:t>10:00 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PRACTICAL NURSING 1 LAB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PNP 101L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Bosworth &amp; Macharia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Rozanski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BIOETHICS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IDS 215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Opeyemi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Odewale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6:50PM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 HARDWARE &amp; SUPPORT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CSC 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Polnerow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Manufacturing Quality: Assurance &amp; Control </w:t>
            </w: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Technique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MINT 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Duerden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MICROBIOLOGY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 232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Opeyemi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Odewale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5:00PM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9:50PM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PRACTICAL NURSING 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PNP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Bosworth &amp; Macharia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Rozanski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GROWTH &amp; DEVELOPMENT OF THE YOUNG CHILD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ECE 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Tanzil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Khan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8:50PM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Spoken English -High Intermediate Level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ESL 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Cristin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Carpenter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7:50pm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ELEMENTARY SPANISH II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 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Quesada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9:15pm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MWCC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Introduction to Early Childhood Education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ECE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Maureen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Provost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8:40PM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Home, School, and Community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ECE103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Maureen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Provost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8:40PM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Psychiatric Nursing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Lisa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Gendron         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Psychiatric Nursing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 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Michelle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McGrath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7:10PM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 Surg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 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Lisa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Gendron         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8:00PM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 Surg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 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Michelle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McGrath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8:00PM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FOUNDATIONS OF NURSING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 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Victoria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Lopriore   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FOUNDATIONS OF NURSING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 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Nancy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Wada           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BASIC DIAGNOSIS CODING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MRT117-IH1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Sandra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PROCEDURE CODING SYSTEMS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MRT118-IH1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Sandra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COURSES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COURSES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MBCC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 DESIGN W/CAD I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MN103-750L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Marina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Bograd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0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088">
              <w:rPr>
                <w:rFonts w:ascii="Calibri" w:eastAsia="Times New Roman" w:hAnsi="Calibri" w:cs="Calibri"/>
                <w:color w:val="000000"/>
              </w:rPr>
              <w:t>BHCC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088">
              <w:rPr>
                <w:rFonts w:ascii="Calibri" w:eastAsia="Times New Roman" w:hAnsi="Calibri" w:cs="Calibri"/>
                <w:color w:val="000000"/>
              </w:rPr>
              <w:t>NO COURSES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5088" w:rsidRPr="002D5088" w:rsidTr="00B9775B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88" w:rsidRPr="002D5088" w:rsidRDefault="002D5088" w:rsidP="002D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D5088" w:rsidRDefault="002D5088">
      <w:pPr>
        <w:rPr>
          <w:rFonts w:ascii="Times New Roman" w:hAnsi="Times New Roman" w:cs="Times New Roman"/>
          <w:b/>
          <w:sz w:val="28"/>
          <w:szCs w:val="28"/>
        </w:rPr>
      </w:pPr>
    </w:p>
    <w:p w:rsidR="009A3766" w:rsidRDefault="009A3766">
      <w:pPr>
        <w:rPr>
          <w:rFonts w:ascii="Times New Roman" w:hAnsi="Times New Roman" w:cs="Times New Roman"/>
          <w:b/>
          <w:sz w:val="28"/>
          <w:szCs w:val="28"/>
        </w:rPr>
      </w:pPr>
    </w:p>
    <w:p w:rsidR="009A3766" w:rsidRDefault="009A37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6A80" w:rsidRDefault="00656A80"/>
    <w:sectPr w:rsidR="00656A80" w:rsidSect="00BF1BBB"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53" w:rsidRDefault="00F97E53" w:rsidP="00885CF4">
      <w:pPr>
        <w:spacing w:after="0" w:line="240" w:lineRule="auto"/>
      </w:pPr>
      <w:r>
        <w:separator/>
      </w:r>
    </w:p>
  </w:endnote>
  <w:endnote w:type="continuationSeparator" w:id="1">
    <w:p w:rsidR="00F97E53" w:rsidRDefault="00F97E53" w:rsidP="008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830"/>
      <w:docPartObj>
        <w:docPartGallery w:val="Page Numbers (Bottom of Page)"/>
        <w:docPartUnique/>
      </w:docPartObj>
    </w:sdtPr>
    <w:sdtContent>
      <w:p w:rsidR="005B063F" w:rsidRDefault="005B063F">
        <w:pPr>
          <w:pStyle w:val="Footer"/>
          <w:jc w:val="center"/>
        </w:pPr>
        <w:fldSimple w:instr=" PAGE   \* MERGEFORMAT ">
          <w:r w:rsidR="00612C1F">
            <w:rPr>
              <w:noProof/>
            </w:rPr>
            <w:t>2</w:t>
          </w:r>
        </w:fldSimple>
      </w:p>
    </w:sdtContent>
  </w:sdt>
  <w:p w:rsidR="005B063F" w:rsidRDefault="005B0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53" w:rsidRDefault="00F97E53" w:rsidP="00885CF4">
      <w:pPr>
        <w:spacing w:after="0" w:line="240" w:lineRule="auto"/>
      </w:pPr>
      <w:r>
        <w:separator/>
      </w:r>
    </w:p>
  </w:footnote>
  <w:footnote w:type="continuationSeparator" w:id="1">
    <w:p w:rsidR="00F97E53" w:rsidRDefault="00F97E53" w:rsidP="0088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6A80"/>
    <w:rsid w:val="00012718"/>
    <w:rsid w:val="00077F31"/>
    <w:rsid w:val="00086F43"/>
    <w:rsid w:val="00091A2C"/>
    <w:rsid w:val="00091C8F"/>
    <w:rsid w:val="000E0E7B"/>
    <w:rsid w:val="000E70FD"/>
    <w:rsid w:val="001635E6"/>
    <w:rsid w:val="001A0037"/>
    <w:rsid w:val="00220B13"/>
    <w:rsid w:val="00235FB1"/>
    <w:rsid w:val="00241DF5"/>
    <w:rsid w:val="00271F98"/>
    <w:rsid w:val="002A0252"/>
    <w:rsid w:val="002C71FD"/>
    <w:rsid w:val="002D1BF5"/>
    <w:rsid w:val="002D5088"/>
    <w:rsid w:val="002F1072"/>
    <w:rsid w:val="003274A3"/>
    <w:rsid w:val="00383CFF"/>
    <w:rsid w:val="003A77F9"/>
    <w:rsid w:val="003B52B3"/>
    <w:rsid w:val="00422D59"/>
    <w:rsid w:val="004444E7"/>
    <w:rsid w:val="004B4C02"/>
    <w:rsid w:val="004D2446"/>
    <w:rsid w:val="00520DB4"/>
    <w:rsid w:val="005566D5"/>
    <w:rsid w:val="00582C96"/>
    <w:rsid w:val="005B063F"/>
    <w:rsid w:val="005C3EF9"/>
    <w:rsid w:val="00612C1F"/>
    <w:rsid w:val="00620251"/>
    <w:rsid w:val="00656A80"/>
    <w:rsid w:val="0066547C"/>
    <w:rsid w:val="00691768"/>
    <w:rsid w:val="006A2EC1"/>
    <w:rsid w:val="006A4119"/>
    <w:rsid w:val="006A7782"/>
    <w:rsid w:val="006E5F33"/>
    <w:rsid w:val="00737627"/>
    <w:rsid w:val="00794F32"/>
    <w:rsid w:val="007A313A"/>
    <w:rsid w:val="007A60E5"/>
    <w:rsid w:val="00824AF7"/>
    <w:rsid w:val="00826FDC"/>
    <w:rsid w:val="00834F12"/>
    <w:rsid w:val="008415F4"/>
    <w:rsid w:val="00853238"/>
    <w:rsid w:val="0088351B"/>
    <w:rsid w:val="00885CF4"/>
    <w:rsid w:val="0089036A"/>
    <w:rsid w:val="009462CC"/>
    <w:rsid w:val="00953602"/>
    <w:rsid w:val="009930C1"/>
    <w:rsid w:val="009A3324"/>
    <w:rsid w:val="009A3766"/>
    <w:rsid w:val="009C7953"/>
    <w:rsid w:val="009D150B"/>
    <w:rsid w:val="00A05C9A"/>
    <w:rsid w:val="00A124D9"/>
    <w:rsid w:val="00A15C4C"/>
    <w:rsid w:val="00A22A43"/>
    <w:rsid w:val="00AD1FC1"/>
    <w:rsid w:val="00B638F6"/>
    <w:rsid w:val="00B9775B"/>
    <w:rsid w:val="00BC67CE"/>
    <w:rsid w:val="00BE46F3"/>
    <w:rsid w:val="00BF1BBB"/>
    <w:rsid w:val="00C31262"/>
    <w:rsid w:val="00C509D5"/>
    <w:rsid w:val="00C97CE0"/>
    <w:rsid w:val="00C97FD8"/>
    <w:rsid w:val="00CA689B"/>
    <w:rsid w:val="00D406FF"/>
    <w:rsid w:val="00D73D9F"/>
    <w:rsid w:val="00D91806"/>
    <w:rsid w:val="00DB548D"/>
    <w:rsid w:val="00DE4419"/>
    <w:rsid w:val="00E06805"/>
    <w:rsid w:val="00E37C3A"/>
    <w:rsid w:val="00E61B88"/>
    <w:rsid w:val="00E662AE"/>
    <w:rsid w:val="00E83A49"/>
    <w:rsid w:val="00ED650E"/>
    <w:rsid w:val="00F06A1F"/>
    <w:rsid w:val="00F2179B"/>
    <w:rsid w:val="00F8483D"/>
    <w:rsid w:val="00F87163"/>
    <w:rsid w:val="00F87C9F"/>
    <w:rsid w:val="00F97E53"/>
    <w:rsid w:val="00FA1569"/>
    <w:rsid w:val="00FA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F4"/>
  </w:style>
  <w:style w:type="paragraph" w:styleId="Footer">
    <w:name w:val="footer"/>
    <w:basedOn w:val="Normal"/>
    <w:link w:val="FooterChar"/>
    <w:uiPriority w:val="99"/>
    <w:unhideWhenUsed/>
    <w:rsid w:val="008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F4"/>
  </w:style>
  <w:style w:type="paragraph" w:styleId="BalloonText">
    <w:name w:val="Balloon Text"/>
    <w:basedOn w:val="Normal"/>
    <w:link w:val="BalloonTextChar"/>
    <w:uiPriority w:val="99"/>
    <w:semiHidden/>
    <w:unhideWhenUsed/>
    <w:rsid w:val="008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1B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1BB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jg1999\Google%20Drive\Fall%202016%20BOD%20Report\DCE%20&amp;%20Full-time%20Trends%5bConflict%5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jg1999\Google%20Drive\Fall%202016%20BOD%20Report\DCE%20&amp;%20Full-time%20Trend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DCE</a:t>
            </a:r>
            <a:r>
              <a:rPr lang="en-US" baseline="0"/>
              <a:t> Membership Trends 2006 to 2016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1"/>
          <c:order val="0"/>
          <c:dLbls>
            <c:showVal val="1"/>
          </c:dLbls>
          <c:trendline>
            <c:trendlineType val="linear"/>
          </c:trendline>
          <c:cat>
            <c:numRef>
              <c:f>Sheet1!$B$48:$B$58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Sheet1!$C$48:$C$58</c:f>
              <c:numCache>
                <c:formatCode>General</c:formatCode>
                <c:ptCount val="11"/>
                <c:pt idx="0">
                  <c:v>4204</c:v>
                </c:pt>
                <c:pt idx="1">
                  <c:v>4214</c:v>
                </c:pt>
                <c:pt idx="2">
                  <c:v>4280</c:v>
                </c:pt>
                <c:pt idx="3">
                  <c:v>4340</c:v>
                </c:pt>
                <c:pt idx="4">
                  <c:v>4320</c:v>
                </c:pt>
                <c:pt idx="5">
                  <c:v>4223</c:v>
                </c:pt>
                <c:pt idx="6">
                  <c:v>4369</c:v>
                </c:pt>
                <c:pt idx="7">
                  <c:v>4333</c:v>
                </c:pt>
                <c:pt idx="8">
                  <c:v>4106</c:v>
                </c:pt>
                <c:pt idx="9">
                  <c:v>4123</c:v>
                </c:pt>
                <c:pt idx="10">
                  <c:v>4144</c:v>
                </c:pt>
              </c:numCache>
            </c:numRef>
          </c:val>
        </c:ser>
        <c:dLbls>
          <c:showVal val="1"/>
        </c:dLbls>
        <c:axId val="92616192"/>
        <c:axId val="92618112"/>
      </c:barChart>
      <c:catAx>
        <c:axId val="92616192"/>
        <c:scaling>
          <c:orientation val="minMax"/>
        </c:scaling>
        <c:axPos val="b"/>
        <c:numFmt formatCode="General" sourceLinked="1"/>
        <c:majorTickMark val="none"/>
        <c:tickLblPos val="nextTo"/>
        <c:crossAx val="92618112"/>
        <c:crosses val="autoZero"/>
        <c:auto val="1"/>
        <c:lblAlgn val="ctr"/>
        <c:lblOffset val="100"/>
      </c:catAx>
      <c:valAx>
        <c:axId val="926181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26161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Full-time</a:t>
            </a:r>
            <a:r>
              <a:rPr lang="en-US" baseline="0"/>
              <a:t>  M</a:t>
            </a:r>
            <a:r>
              <a:rPr lang="en-US"/>
              <a:t>embership Trends from 2006 to 2016</a:t>
            </a:r>
          </a:p>
        </c:rich>
      </c:tx>
    </c:title>
    <c:plotArea>
      <c:layout/>
      <c:lineChart>
        <c:grouping val="stacked"/>
        <c:ser>
          <c:idx val="1"/>
          <c:order val="0"/>
          <c:tx>
            <c:strRef>
              <c:f>Sheet1!$C$63:$C$73</c:f>
              <c:strCache>
                <c:ptCount val="1"/>
                <c:pt idx="0">
                  <c:v>1998 1986 2036 2071 2111 2220 2317 2302 2304 2275 2380</c:v>
                </c:pt>
              </c:strCache>
            </c:strRef>
          </c:tx>
          <c:marker>
            <c:symbol val="none"/>
          </c:marker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2280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Sheet1!$B$63:$B$73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Sheet1!$C$63:$C$73</c:f>
              <c:numCache>
                <c:formatCode>General</c:formatCode>
                <c:ptCount val="11"/>
                <c:pt idx="0">
                  <c:v>1998</c:v>
                </c:pt>
                <c:pt idx="1">
                  <c:v>1986</c:v>
                </c:pt>
                <c:pt idx="2">
                  <c:v>2036</c:v>
                </c:pt>
                <c:pt idx="3">
                  <c:v>2071</c:v>
                </c:pt>
                <c:pt idx="4">
                  <c:v>2111</c:v>
                </c:pt>
                <c:pt idx="5">
                  <c:v>2220</c:v>
                </c:pt>
                <c:pt idx="6">
                  <c:v>2317</c:v>
                </c:pt>
                <c:pt idx="7">
                  <c:v>2302</c:v>
                </c:pt>
                <c:pt idx="8">
                  <c:v>2304</c:v>
                </c:pt>
                <c:pt idx="9">
                  <c:v>2275</c:v>
                </c:pt>
                <c:pt idx="10">
                  <c:v>2380</c:v>
                </c:pt>
              </c:numCache>
            </c:numRef>
          </c:val>
        </c:ser>
        <c:marker val="1"/>
        <c:axId val="93131904"/>
        <c:axId val="101254272"/>
      </c:lineChart>
      <c:catAx>
        <c:axId val="93131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</c:title>
        <c:numFmt formatCode="General" sourceLinked="1"/>
        <c:majorTickMark val="none"/>
        <c:tickLblPos val="nextTo"/>
        <c:crossAx val="101254272"/>
        <c:crosses val="autoZero"/>
        <c:auto val="1"/>
        <c:lblAlgn val="ctr"/>
        <c:lblOffset val="100"/>
      </c:catAx>
      <c:valAx>
        <c:axId val="1012542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Full-Time unit members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93131904"/>
        <c:crosses val="autoZero"/>
        <c:crossBetween val="between"/>
      </c:valAx>
    </c:plotArea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519B73FB3E4E27824F3E3FA78F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55DD-3958-4904-BB36-D7A9885CAB09}"/>
      </w:docPartPr>
      <w:docPartBody>
        <w:p w:rsidR="002B3CCA" w:rsidRDefault="00E23EEF" w:rsidP="00E23EEF">
          <w:pPr>
            <w:pStyle w:val="3F519B73FB3E4E27824F3E3FA78F557F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06E354B6CB2947F88E7A30C75D4B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F01F-64F4-4B9F-B2AC-67747A90D6BF}"/>
      </w:docPartPr>
      <w:docPartBody>
        <w:p w:rsidR="002B3CCA" w:rsidRDefault="00E23EEF" w:rsidP="00E23EEF">
          <w:pPr>
            <w:pStyle w:val="06E354B6CB2947F88E7A30C75D4B268C"/>
          </w:pPr>
          <w:r>
            <w:rPr>
              <w:color w:val="484329" w:themeColor="background2" w:themeShade="3F"/>
              <w:sz w:val="28"/>
              <w:szCs w:val="28"/>
            </w:rPr>
            <w:t>[Type the document subtitle]</w:t>
          </w:r>
        </w:p>
      </w:docPartBody>
    </w:docPart>
    <w:docPart>
      <w:docPartPr>
        <w:name w:val="835A12BF5E624383B5A504A3F804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5648-9B92-475D-99D0-F898F5085F29}"/>
      </w:docPartPr>
      <w:docPartBody>
        <w:p w:rsidR="002B3CCA" w:rsidRDefault="00E23EEF" w:rsidP="00E23EEF">
          <w:pPr>
            <w:pStyle w:val="835A12BF5E624383B5A504A3F804863D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3EEF"/>
    <w:rsid w:val="002B3CCA"/>
    <w:rsid w:val="00591CAB"/>
    <w:rsid w:val="00E2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19B73FB3E4E27824F3E3FA78F557F">
    <w:name w:val="3F519B73FB3E4E27824F3E3FA78F557F"/>
    <w:rsid w:val="00E23EEF"/>
  </w:style>
  <w:style w:type="paragraph" w:customStyle="1" w:styleId="06E354B6CB2947F88E7A30C75D4B268C">
    <w:name w:val="06E354B6CB2947F88E7A30C75D4B268C"/>
    <w:rsid w:val="00E23EEF"/>
  </w:style>
  <w:style w:type="paragraph" w:customStyle="1" w:styleId="835A12BF5E624383B5A504A3F804863D">
    <w:name w:val="835A12BF5E624383B5A504A3F804863D"/>
    <w:rsid w:val="00E23EEF"/>
  </w:style>
  <w:style w:type="paragraph" w:customStyle="1" w:styleId="B85CF64B7F914663A3FE6B3A0D086C53">
    <w:name w:val="B85CF64B7F914663A3FE6B3A0D086C53"/>
    <w:rsid w:val="00E23EEF"/>
  </w:style>
  <w:style w:type="paragraph" w:customStyle="1" w:styleId="BC55A094237E443D8EF0D3A1B53F0DAB">
    <w:name w:val="BC55A094237E443D8EF0D3A1B53F0DAB"/>
    <w:rsid w:val="00E23E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2017-01-20T00:00:00</PublishDate>
  <Abstract>This report was prepared and presented to the MCCC BOD by the Research Coordinator. The content is mainly about the MCCC membership numbers and trends.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1E6EA-A825-464C-A70F-12BBDE08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Report</vt:lpstr>
    </vt:vector>
  </TitlesOfParts>
  <Company>Toshiba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</dc:title>
  <dc:subject>Fall 2016</dc:subject>
  <dc:creator>Hilaire</dc:creator>
  <cp:lastModifiedBy>hjg1999</cp:lastModifiedBy>
  <cp:revision>14</cp:revision>
  <cp:lastPrinted>2017-01-26T23:06:00Z</cp:lastPrinted>
  <dcterms:created xsi:type="dcterms:W3CDTF">2017-02-10T00:10:00Z</dcterms:created>
  <dcterms:modified xsi:type="dcterms:W3CDTF">2017-06-18T03:34:00Z</dcterms:modified>
</cp:coreProperties>
</file>